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8" w:type="dxa"/>
        <w:tblInd w:w="108" w:type="dxa"/>
        <w:tblLook w:val="00A0" w:firstRow="1" w:lastRow="0" w:firstColumn="1" w:lastColumn="0" w:noHBand="0" w:noVBand="0"/>
      </w:tblPr>
      <w:tblGrid>
        <w:gridCol w:w="5374"/>
        <w:gridCol w:w="4034"/>
      </w:tblGrid>
      <w:tr w:rsidR="00331F1C">
        <w:trPr>
          <w:trHeight w:hRule="exact" w:val="1537"/>
        </w:trPr>
        <w:tc>
          <w:tcPr>
            <w:tcW w:w="5374" w:type="dxa"/>
          </w:tcPr>
          <w:p w:rsidR="006C6C6A" w:rsidRDefault="00D43783">
            <w:pPr>
              <w:pStyle w:val="Bunntekst"/>
              <w:tabs>
                <w:tab w:val="clear" w:pos="4536"/>
                <w:tab w:val="clear" w:pos="9072"/>
              </w:tabs>
            </w:pPr>
            <w:bookmarkStart w:id="0" w:name="MOTTAKERNAVN"/>
            <w:bookmarkStart w:id="1" w:name="_GoBack"/>
            <w:bookmarkEnd w:id="1"/>
            <w:r>
              <w:t>Samferdselsdepartementet</w:t>
            </w:r>
            <w:bookmarkEnd w:id="0"/>
            <w:r w:rsidR="006C6C6A">
              <w:t xml:space="preserve"> </w:t>
            </w:r>
          </w:p>
          <w:p w:rsidR="00331F1C" w:rsidRDefault="006C6C6A">
            <w:pPr>
              <w:pStyle w:val="Bunntekst"/>
              <w:tabs>
                <w:tab w:val="clear" w:pos="4536"/>
                <w:tab w:val="clear" w:pos="9072"/>
              </w:tabs>
            </w:pPr>
            <w:r>
              <w:t>v/statsråd Ketil Solvik-Olsen</w:t>
            </w:r>
          </w:p>
          <w:p w:rsidR="00331F1C" w:rsidRDefault="00D43783">
            <w:bookmarkStart w:id="2" w:name="ADRESSE"/>
            <w:r>
              <w:t>8010 Dep</w:t>
            </w:r>
            <w:bookmarkEnd w:id="2"/>
          </w:p>
          <w:p w:rsidR="00331F1C" w:rsidRDefault="00D43783">
            <w:bookmarkStart w:id="3" w:name="POSTNR"/>
            <w:r>
              <w:t>0030</w:t>
            </w:r>
            <w:bookmarkEnd w:id="3"/>
            <w:r w:rsidR="00485522">
              <w:t xml:space="preserve">  </w:t>
            </w:r>
            <w:bookmarkStart w:id="4" w:name="POSTSTED"/>
            <w:r>
              <w:t>OSLO</w:t>
            </w:r>
            <w:bookmarkEnd w:id="4"/>
          </w:p>
          <w:p w:rsidR="00331F1C" w:rsidRDefault="00331F1C"/>
          <w:p w:rsidR="00331F1C" w:rsidRDefault="00331F1C">
            <w:bookmarkStart w:id="5" w:name="KONTAKT"/>
            <w:bookmarkEnd w:id="5"/>
          </w:p>
        </w:tc>
        <w:tc>
          <w:tcPr>
            <w:tcW w:w="4034" w:type="dxa"/>
          </w:tcPr>
          <w:p w:rsidR="00331F1C" w:rsidRDefault="00331F1C">
            <w:pPr>
              <w:jc w:val="right"/>
              <w:rPr>
                <w:b/>
              </w:rPr>
            </w:pPr>
            <w:bookmarkStart w:id="6" w:name="UOFFPARAGRAF"/>
            <w:bookmarkEnd w:id="6"/>
          </w:p>
        </w:tc>
      </w:tr>
    </w:tbl>
    <w:p w:rsidR="00331F1C" w:rsidRDefault="00331F1C"/>
    <w:tbl>
      <w:tblPr>
        <w:tblW w:w="9490" w:type="dxa"/>
        <w:tblInd w:w="108" w:type="dxa"/>
        <w:tblLook w:val="00A0" w:firstRow="1" w:lastRow="0" w:firstColumn="1" w:lastColumn="0" w:noHBand="0" w:noVBand="0"/>
      </w:tblPr>
      <w:tblGrid>
        <w:gridCol w:w="3960"/>
        <w:gridCol w:w="880"/>
        <w:gridCol w:w="1820"/>
        <w:gridCol w:w="2830"/>
      </w:tblGrid>
      <w:tr w:rsidR="00331F1C">
        <w:trPr>
          <w:trHeight w:hRule="exact" w:val="198"/>
        </w:trPr>
        <w:tc>
          <w:tcPr>
            <w:tcW w:w="3960" w:type="dxa"/>
          </w:tcPr>
          <w:p w:rsidR="00331F1C" w:rsidRDefault="00485522">
            <w:pPr>
              <w:pStyle w:val="Topptekst"/>
              <w:rPr>
                <w:bCs/>
                <w:sz w:val="20"/>
              </w:rPr>
            </w:pPr>
            <w:r>
              <w:rPr>
                <w:bCs/>
                <w:sz w:val="20"/>
              </w:rPr>
              <w:t>Vår saksbehandler</w:t>
            </w:r>
          </w:p>
        </w:tc>
        <w:tc>
          <w:tcPr>
            <w:tcW w:w="880" w:type="dxa"/>
          </w:tcPr>
          <w:p w:rsidR="00331F1C" w:rsidRDefault="00331F1C">
            <w:pPr>
              <w:pStyle w:val="Topptekst"/>
              <w:rPr>
                <w:bCs/>
                <w:sz w:val="20"/>
              </w:rPr>
            </w:pPr>
          </w:p>
        </w:tc>
        <w:tc>
          <w:tcPr>
            <w:tcW w:w="1820" w:type="dxa"/>
          </w:tcPr>
          <w:p w:rsidR="00331F1C" w:rsidRDefault="00485522">
            <w:pPr>
              <w:pStyle w:val="Topptekst"/>
              <w:rPr>
                <w:bCs/>
                <w:sz w:val="20"/>
              </w:rPr>
            </w:pPr>
            <w:r>
              <w:rPr>
                <w:bCs/>
                <w:sz w:val="20"/>
              </w:rPr>
              <w:t>Vår dato</w:t>
            </w:r>
          </w:p>
        </w:tc>
        <w:tc>
          <w:tcPr>
            <w:tcW w:w="2830" w:type="dxa"/>
          </w:tcPr>
          <w:p w:rsidR="00331F1C" w:rsidRDefault="00485522">
            <w:pPr>
              <w:pStyle w:val="Topptekst"/>
              <w:rPr>
                <w:bCs/>
                <w:sz w:val="20"/>
              </w:rPr>
            </w:pPr>
            <w:r>
              <w:rPr>
                <w:bCs/>
                <w:sz w:val="20"/>
              </w:rPr>
              <w:t>Vår referanse</w:t>
            </w:r>
          </w:p>
        </w:tc>
      </w:tr>
      <w:tr w:rsidR="00331F1C">
        <w:trPr>
          <w:trHeight w:val="315"/>
        </w:trPr>
        <w:tc>
          <w:tcPr>
            <w:tcW w:w="3960" w:type="dxa"/>
          </w:tcPr>
          <w:p w:rsidR="00331F1C" w:rsidRDefault="00D43783">
            <w:pPr>
              <w:pStyle w:val="Topptekst"/>
              <w:rPr>
                <w:bCs/>
                <w:sz w:val="20"/>
              </w:rPr>
            </w:pPr>
            <w:bookmarkStart w:id="7" w:name="SAKSBEHANDLERNAVN2"/>
            <w:r>
              <w:rPr>
                <w:bCs/>
                <w:sz w:val="20"/>
              </w:rPr>
              <w:t>Jon Petter Arntzen</w:t>
            </w:r>
            <w:bookmarkEnd w:id="7"/>
          </w:p>
        </w:tc>
        <w:tc>
          <w:tcPr>
            <w:tcW w:w="880" w:type="dxa"/>
          </w:tcPr>
          <w:p w:rsidR="00331F1C" w:rsidRDefault="00331F1C">
            <w:pPr>
              <w:pStyle w:val="Topptekst"/>
              <w:rPr>
                <w:bCs/>
                <w:sz w:val="20"/>
              </w:rPr>
            </w:pPr>
          </w:p>
        </w:tc>
        <w:tc>
          <w:tcPr>
            <w:tcW w:w="1820" w:type="dxa"/>
          </w:tcPr>
          <w:p w:rsidR="00331F1C" w:rsidRDefault="00D43783">
            <w:pPr>
              <w:pStyle w:val="Topptekst"/>
              <w:rPr>
                <w:bCs/>
                <w:sz w:val="20"/>
              </w:rPr>
            </w:pPr>
            <w:bookmarkStart w:id="8" w:name="BREVDATO"/>
            <w:r>
              <w:rPr>
                <w:bCs/>
                <w:sz w:val="20"/>
              </w:rPr>
              <w:t>01.09.2017</w:t>
            </w:r>
            <w:bookmarkEnd w:id="8"/>
          </w:p>
        </w:tc>
        <w:tc>
          <w:tcPr>
            <w:tcW w:w="2830" w:type="dxa"/>
          </w:tcPr>
          <w:p w:rsidR="00331F1C" w:rsidRDefault="00D43783">
            <w:pPr>
              <w:pStyle w:val="Topptekst"/>
              <w:rPr>
                <w:bCs/>
                <w:sz w:val="20"/>
              </w:rPr>
            </w:pPr>
            <w:bookmarkStart w:id="9" w:name="SAKSNR"/>
            <w:r>
              <w:rPr>
                <w:bCs/>
                <w:sz w:val="20"/>
              </w:rPr>
              <w:t>2014/19519</w:t>
            </w:r>
            <w:bookmarkEnd w:id="9"/>
            <w:r w:rsidR="00485522">
              <w:rPr>
                <w:bCs/>
                <w:sz w:val="20"/>
              </w:rPr>
              <w:t>-</w:t>
            </w:r>
            <w:bookmarkStart w:id="10" w:name="NRISAK"/>
            <w:r>
              <w:rPr>
                <w:bCs/>
                <w:sz w:val="20"/>
              </w:rPr>
              <w:t>21</w:t>
            </w:r>
            <w:bookmarkEnd w:id="10"/>
            <w:r w:rsidR="00485522">
              <w:rPr>
                <w:bCs/>
                <w:sz w:val="20"/>
              </w:rPr>
              <w:t xml:space="preserve"> </w:t>
            </w:r>
            <w:bookmarkStart w:id="11" w:name="ARKIVDEL"/>
            <w:r>
              <w:rPr>
                <w:bCs/>
                <w:sz w:val="20"/>
              </w:rPr>
              <w:t>EMNE</w:t>
            </w:r>
            <w:bookmarkEnd w:id="11"/>
            <w:r w:rsidR="00485522">
              <w:rPr>
                <w:bCs/>
                <w:sz w:val="20"/>
              </w:rPr>
              <w:t xml:space="preserve"> </w:t>
            </w:r>
            <w:bookmarkStart w:id="12" w:name="ORDNINGSVERDIER"/>
            <w:r>
              <w:rPr>
                <w:bCs/>
                <w:sz w:val="20"/>
              </w:rPr>
              <w:t>N00</w:t>
            </w:r>
            <w:bookmarkEnd w:id="12"/>
          </w:p>
        </w:tc>
      </w:tr>
      <w:tr w:rsidR="00331F1C">
        <w:trPr>
          <w:trHeight w:val="315"/>
        </w:trPr>
        <w:tc>
          <w:tcPr>
            <w:tcW w:w="3960" w:type="dxa"/>
          </w:tcPr>
          <w:p w:rsidR="00331F1C" w:rsidRDefault="00485522">
            <w:pPr>
              <w:pStyle w:val="Topptekst"/>
              <w:rPr>
                <w:bCs/>
                <w:sz w:val="20"/>
              </w:rPr>
            </w:pPr>
            <w:r>
              <w:rPr>
                <w:bCs/>
                <w:sz w:val="20"/>
              </w:rPr>
              <w:t>Telefon</w:t>
            </w:r>
            <w:r w:rsidR="006C6C6A">
              <w:rPr>
                <w:bCs/>
                <w:sz w:val="20"/>
              </w:rPr>
              <w:t>. 90 10 83 89</w:t>
            </w:r>
          </w:p>
          <w:p w:rsidR="00331F1C" w:rsidRDefault="00331F1C">
            <w:pPr>
              <w:pStyle w:val="Topptekst"/>
              <w:rPr>
                <w:bCs/>
                <w:sz w:val="20"/>
              </w:rPr>
            </w:pPr>
            <w:bookmarkStart w:id="13" w:name="SAKSBEHTLF"/>
            <w:bookmarkEnd w:id="13"/>
          </w:p>
        </w:tc>
        <w:tc>
          <w:tcPr>
            <w:tcW w:w="880" w:type="dxa"/>
          </w:tcPr>
          <w:p w:rsidR="00331F1C" w:rsidRDefault="00331F1C">
            <w:pPr>
              <w:pStyle w:val="Topptekst"/>
              <w:rPr>
                <w:bCs/>
                <w:sz w:val="20"/>
              </w:rPr>
            </w:pPr>
          </w:p>
        </w:tc>
        <w:tc>
          <w:tcPr>
            <w:tcW w:w="1820" w:type="dxa"/>
          </w:tcPr>
          <w:p w:rsidR="00331F1C" w:rsidRDefault="00485522">
            <w:pPr>
              <w:pStyle w:val="Topptekst"/>
              <w:rPr>
                <w:bCs/>
                <w:sz w:val="20"/>
              </w:rPr>
            </w:pPr>
            <w:r>
              <w:rPr>
                <w:bCs/>
                <w:sz w:val="20"/>
              </w:rPr>
              <w:t>Deres dato</w:t>
            </w:r>
          </w:p>
        </w:tc>
        <w:tc>
          <w:tcPr>
            <w:tcW w:w="2830" w:type="dxa"/>
          </w:tcPr>
          <w:p w:rsidR="00331F1C" w:rsidRDefault="00485522">
            <w:pPr>
              <w:pStyle w:val="Topptekst"/>
              <w:rPr>
                <w:bCs/>
                <w:sz w:val="20"/>
              </w:rPr>
            </w:pPr>
            <w:r>
              <w:rPr>
                <w:bCs/>
                <w:sz w:val="20"/>
              </w:rPr>
              <w:t>Deres referanse</w:t>
            </w:r>
          </w:p>
          <w:p w:rsidR="00331F1C" w:rsidRDefault="00331F1C">
            <w:pPr>
              <w:pStyle w:val="Topptekst"/>
              <w:rPr>
                <w:bCs/>
                <w:sz w:val="20"/>
              </w:rPr>
            </w:pPr>
            <w:bookmarkStart w:id="14" w:name="REF"/>
            <w:bookmarkEnd w:id="14"/>
          </w:p>
        </w:tc>
      </w:tr>
      <w:tr w:rsidR="00331F1C">
        <w:trPr>
          <w:trHeight w:val="351"/>
        </w:trPr>
        <w:tc>
          <w:tcPr>
            <w:tcW w:w="3960" w:type="dxa"/>
          </w:tcPr>
          <w:p w:rsidR="00331F1C" w:rsidRDefault="00485522">
            <w:pPr>
              <w:pStyle w:val="Topptekst"/>
              <w:rPr>
                <w:bCs/>
                <w:sz w:val="20"/>
              </w:rPr>
            </w:pPr>
            <w:r>
              <w:rPr>
                <w:bCs/>
                <w:sz w:val="20"/>
              </w:rPr>
              <w:t>E-post</w:t>
            </w:r>
          </w:p>
          <w:p w:rsidR="00331F1C" w:rsidRDefault="00D43783">
            <w:pPr>
              <w:pStyle w:val="Topptekst"/>
              <w:rPr>
                <w:bCs/>
                <w:sz w:val="20"/>
              </w:rPr>
            </w:pPr>
            <w:bookmarkStart w:id="15" w:name="SAKSBEHEMAIL"/>
            <w:r>
              <w:rPr>
                <w:bCs/>
                <w:sz w:val="20"/>
              </w:rPr>
              <w:t>Jon.Petter.Arntzen@afk.no</w:t>
            </w:r>
            <w:bookmarkEnd w:id="15"/>
          </w:p>
        </w:tc>
        <w:tc>
          <w:tcPr>
            <w:tcW w:w="880" w:type="dxa"/>
          </w:tcPr>
          <w:p w:rsidR="00331F1C" w:rsidRDefault="00331F1C">
            <w:pPr>
              <w:pStyle w:val="Topptekst"/>
              <w:rPr>
                <w:bCs/>
                <w:sz w:val="20"/>
              </w:rPr>
            </w:pPr>
          </w:p>
        </w:tc>
        <w:tc>
          <w:tcPr>
            <w:tcW w:w="1820" w:type="dxa"/>
          </w:tcPr>
          <w:p w:rsidR="00331F1C" w:rsidRDefault="00331F1C">
            <w:pPr>
              <w:pStyle w:val="Topptekst"/>
              <w:rPr>
                <w:bCs/>
                <w:sz w:val="20"/>
              </w:rPr>
            </w:pPr>
          </w:p>
        </w:tc>
        <w:tc>
          <w:tcPr>
            <w:tcW w:w="2830" w:type="dxa"/>
          </w:tcPr>
          <w:p w:rsidR="00331F1C" w:rsidRDefault="00331F1C">
            <w:pPr>
              <w:pStyle w:val="Topptekst"/>
              <w:rPr>
                <w:bCs/>
                <w:sz w:val="20"/>
              </w:rPr>
            </w:pPr>
          </w:p>
        </w:tc>
      </w:tr>
    </w:tbl>
    <w:p w:rsidR="00331F1C" w:rsidRDefault="00331F1C"/>
    <w:p w:rsidR="006C6C6A" w:rsidRDefault="006C6C6A">
      <w:pPr>
        <w:pStyle w:val="Overskrift1"/>
        <w:rPr>
          <w:sz w:val="28"/>
        </w:rPr>
      </w:pPr>
      <w:bookmarkStart w:id="16" w:name="TITTEL"/>
    </w:p>
    <w:p w:rsidR="00331F1C" w:rsidRDefault="00D43783">
      <w:pPr>
        <w:pStyle w:val="Overskrift1"/>
        <w:rPr>
          <w:sz w:val="28"/>
        </w:rPr>
      </w:pPr>
      <w:r>
        <w:rPr>
          <w:sz w:val="28"/>
        </w:rPr>
        <w:t xml:space="preserve">Østlandssamarbeidets innspill til rapport fra </w:t>
      </w:r>
      <w:proofErr w:type="spellStart"/>
      <w:r>
        <w:rPr>
          <w:sz w:val="28"/>
        </w:rPr>
        <w:t>Urbanet</w:t>
      </w:r>
      <w:proofErr w:type="spellEnd"/>
      <w:r>
        <w:rPr>
          <w:sz w:val="28"/>
        </w:rPr>
        <w:t xml:space="preserve"> Analyse</w:t>
      </w:r>
      <w:bookmarkEnd w:id="16"/>
    </w:p>
    <w:p w:rsidR="00331F1C" w:rsidRDefault="00331F1C"/>
    <w:p w:rsidR="006C6C6A" w:rsidRPr="006C6C6A" w:rsidRDefault="006C6C6A" w:rsidP="006C6C6A">
      <w:pPr>
        <w:rPr>
          <w:rFonts w:asciiTheme="majorHAnsi" w:eastAsiaTheme="majorEastAsia" w:hAnsiTheme="majorHAnsi" w:cstheme="majorBidi"/>
          <w:color w:val="365F91" w:themeColor="accent1" w:themeShade="BF"/>
          <w:sz w:val="26"/>
          <w:szCs w:val="26"/>
        </w:rPr>
      </w:pPr>
      <w:bookmarkStart w:id="17" w:name="Start"/>
      <w:bookmarkEnd w:id="17"/>
      <w:r w:rsidRPr="006C6C6A">
        <w:rPr>
          <w:rFonts w:asciiTheme="majorHAnsi" w:eastAsiaTheme="majorEastAsia" w:hAnsiTheme="majorHAnsi" w:cstheme="majorBidi"/>
          <w:color w:val="365F91" w:themeColor="accent1" w:themeShade="BF"/>
          <w:sz w:val="26"/>
          <w:szCs w:val="26"/>
        </w:rPr>
        <w:t>Bakgrunn</w:t>
      </w:r>
    </w:p>
    <w:p w:rsidR="006C6C6A" w:rsidRPr="006C6C6A" w:rsidRDefault="006C6C6A" w:rsidP="006C6C6A">
      <w:proofErr w:type="spellStart"/>
      <w:r w:rsidRPr="006C6C6A">
        <w:t>Urbanet</w:t>
      </w:r>
      <w:proofErr w:type="spellEnd"/>
      <w:r w:rsidRPr="006C6C6A">
        <w:t xml:space="preserve"> Analyse (UA) har på oppdrag fra Samferdselsdepartementet utarbeidet rapporten </w:t>
      </w:r>
      <w:r w:rsidRPr="006C6C6A">
        <w:rPr>
          <w:i/>
        </w:rPr>
        <w:t>Et harmonisert nasjonalt takstsystem – mulighet for økt attraktivitet og bruk av kollektivtransport?</w:t>
      </w:r>
      <w:r w:rsidRPr="006C6C6A">
        <w:t xml:space="preserve"> I rapporten har man vurdert endringer på nasjonalt nivå mht.: </w:t>
      </w:r>
    </w:p>
    <w:p w:rsidR="006C6C6A" w:rsidRPr="006C6C6A" w:rsidRDefault="006C6C6A" w:rsidP="006C6C6A">
      <w:pPr>
        <w:numPr>
          <w:ilvl w:val="0"/>
          <w:numId w:val="5"/>
        </w:numPr>
        <w:textAlignment w:val="center"/>
        <w:rPr>
          <w:rFonts w:ascii="Calibri" w:hAnsi="Calibri" w:cs="Calibri"/>
        </w:rPr>
      </w:pPr>
      <w:r w:rsidRPr="006C6C6A">
        <w:rPr>
          <w:rFonts w:ascii="Calibri" w:hAnsi="Calibri" w:cs="Calibri"/>
        </w:rPr>
        <w:t>Harmonisering av kundekategorier og reiseprodukter</w:t>
      </w:r>
    </w:p>
    <w:p w:rsidR="006C6C6A" w:rsidRPr="006C6C6A" w:rsidRDefault="006C6C6A" w:rsidP="006C6C6A">
      <w:pPr>
        <w:numPr>
          <w:ilvl w:val="0"/>
          <w:numId w:val="5"/>
        </w:numPr>
        <w:textAlignment w:val="center"/>
        <w:rPr>
          <w:rFonts w:ascii="Calibri" w:hAnsi="Calibri" w:cs="Calibri"/>
        </w:rPr>
      </w:pPr>
      <w:r w:rsidRPr="006C6C6A">
        <w:rPr>
          <w:rFonts w:ascii="Calibri" w:hAnsi="Calibri" w:cs="Calibri"/>
        </w:rPr>
        <w:t xml:space="preserve">Mer effektiv prising </w:t>
      </w:r>
    </w:p>
    <w:p w:rsidR="006C6C6A" w:rsidRPr="006C6C6A" w:rsidRDefault="006C6C6A" w:rsidP="006C6C6A">
      <w:pPr>
        <w:numPr>
          <w:ilvl w:val="0"/>
          <w:numId w:val="5"/>
        </w:numPr>
        <w:textAlignment w:val="center"/>
        <w:rPr>
          <w:rFonts w:ascii="Calibri" w:hAnsi="Calibri" w:cs="Calibri"/>
        </w:rPr>
      </w:pPr>
      <w:r w:rsidRPr="006C6C6A">
        <w:rPr>
          <w:rFonts w:ascii="Calibri" w:hAnsi="Calibri" w:cs="Calibri"/>
        </w:rPr>
        <w:t>Statlige rabattordninger</w:t>
      </w:r>
    </w:p>
    <w:p w:rsidR="006C6C6A" w:rsidRPr="006C6C6A" w:rsidRDefault="006C6C6A" w:rsidP="006C6C6A">
      <w:pPr>
        <w:ind w:left="1080"/>
        <w:textAlignment w:val="center"/>
        <w:rPr>
          <w:rFonts w:ascii="Calibri" w:hAnsi="Calibri" w:cs="Calibri"/>
        </w:rPr>
      </w:pPr>
    </w:p>
    <w:p w:rsidR="006C6C6A" w:rsidRDefault="006C6C6A" w:rsidP="006C6C6A">
      <w:r w:rsidRPr="006C6C6A">
        <w:t xml:space="preserve">Dette innspillet oppsummerer Østlandssamarbeidets synspunkter på rapportens hovedkonklusjoner. </w:t>
      </w:r>
    </w:p>
    <w:p w:rsidR="006C6C6A" w:rsidRPr="006C6C6A" w:rsidRDefault="006C6C6A" w:rsidP="006C6C6A"/>
    <w:p w:rsidR="006C6C6A" w:rsidRPr="006C6C6A" w:rsidRDefault="006C6C6A" w:rsidP="006C6C6A">
      <w:pPr>
        <w:rPr>
          <w:rFonts w:asciiTheme="majorHAnsi" w:eastAsiaTheme="majorEastAsia" w:hAnsiTheme="majorHAnsi" w:cstheme="majorBidi"/>
          <w:color w:val="365F91" w:themeColor="accent1" w:themeShade="BF"/>
          <w:sz w:val="26"/>
          <w:szCs w:val="26"/>
        </w:rPr>
      </w:pPr>
      <w:r w:rsidRPr="006C6C6A">
        <w:rPr>
          <w:rFonts w:asciiTheme="majorHAnsi" w:eastAsiaTheme="majorEastAsia" w:hAnsiTheme="majorHAnsi" w:cstheme="majorBidi"/>
          <w:color w:val="365F91" w:themeColor="accent1" w:themeShade="BF"/>
          <w:sz w:val="26"/>
          <w:szCs w:val="26"/>
        </w:rPr>
        <w:t>Harmonisering av kundekategorier og reiseprodukter</w:t>
      </w:r>
    </w:p>
    <w:p w:rsidR="006C6C6A" w:rsidRPr="006C6C6A" w:rsidRDefault="006C6C6A" w:rsidP="006C6C6A">
      <w:r w:rsidRPr="006C6C6A">
        <w:t xml:space="preserve">Østlandssamarbeidet er generelt positiv til harmonisering av kundekategorier og reiseprodukter - særlig for samordnede produkter / gjennomgående billettering for (pendler)reiser som skjer i to eller flere fylker. </w:t>
      </w:r>
    </w:p>
    <w:p w:rsidR="006C6C6A" w:rsidRPr="006C6C6A" w:rsidRDefault="006C6C6A" w:rsidP="006C6C6A"/>
    <w:p w:rsidR="006C6C6A" w:rsidRDefault="006C6C6A" w:rsidP="006C6C6A">
      <w:r w:rsidRPr="006C6C6A">
        <w:t xml:space="preserve">Østlandssamarbeidet stiller seg bak ønsket om å endre dagens kategori «Barn» til å gjelde f.o.m. 4 år </w:t>
      </w:r>
      <w:proofErr w:type="spellStart"/>
      <w:r w:rsidRPr="006C6C6A">
        <w:t>t.o.m</w:t>
      </w:r>
      <w:proofErr w:type="spellEnd"/>
      <w:r w:rsidRPr="006C6C6A">
        <w:t xml:space="preserve"> 17 år. Fra man fyller 18 år er det naturlig at voksen takst benyttes. Dette vil være i tråd med den juridiske definisjonen av barn/voksen. Konsekvensen av en utvidelse av barnekategorien, er imidlertid reduserte billettinntekter. Østlandssamarbeidet mener derfor at det må utformes en finansieringsordning som fullt ut kompenserer for et slikt bortfall av inntekter hos kollektivselskapene. </w:t>
      </w:r>
    </w:p>
    <w:p w:rsidR="006C6C6A" w:rsidRDefault="006C6C6A" w:rsidP="006C6C6A"/>
    <w:p w:rsidR="006C6C6A" w:rsidRDefault="006C6C6A" w:rsidP="006C6C6A"/>
    <w:p w:rsidR="006C6C6A" w:rsidRPr="006C6C6A" w:rsidRDefault="006C6C6A" w:rsidP="006C6C6A"/>
    <w:p w:rsidR="006C6C6A" w:rsidRPr="006C6C6A" w:rsidRDefault="006C6C6A" w:rsidP="006C6C6A">
      <w:pPr>
        <w:rPr>
          <w:rFonts w:asciiTheme="majorHAnsi" w:eastAsiaTheme="majorEastAsia" w:hAnsiTheme="majorHAnsi" w:cstheme="majorBidi"/>
          <w:color w:val="365F91" w:themeColor="accent1" w:themeShade="BF"/>
          <w:sz w:val="26"/>
          <w:szCs w:val="26"/>
        </w:rPr>
      </w:pPr>
      <w:r w:rsidRPr="006C6C6A">
        <w:rPr>
          <w:rFonts w:asciiTheme="majorHAnsi" w:eastAsiaTheme="majorEastAsia" w:hAnsiTheme="majorHAnsi" w:cstheme="majorBidi"/>
          <w:color w:val="365F91" w:themeColor="accent1" w:themeShade="BF"/>
          <w:sz w:val="26"/>
          <w:szCs w:val="26"/>
        </w:rPr>
        <w:lastRenderedPageBreak/>
        <w:t>Mer effektiv prising</w:t>
      </w:r>
    </w:p>
    <w:p w:rsidR="006C6C6A" w:rsidRPr="006C6C6A" w:rsidRDefault="006C6C6A" w:rsidP="006C6C6A">
      <w:r w:rsidRPr="006C6C6A">
        <w:t xml:space="preserve">Undersøkelsen til </w:t>
      </w:r>
      <w:proofErr w:type="spellStart"/>
      <w:r w:rsidRPr="006C6C6A">
        <w:t>Urbanet</w:t>
      </w:r>
      <w:proofErr w:type="spellEnd"/>
      <w:r w:rsidRPr="006C6C6A">
        <w:t xml:space="preserve"> Analyse konkluderer videre med at reduserte priser utenfor rush vil gi muligheter for å redusere kapasiteten i rush (evt. frigjøre kapasitet for fremtidig trafikkøkning) i et omfang som gjør totaleffekten blir et redusert tilskuddsbehov. Uten å gå nærmere inn i beregningene og undersøkelsesmetode, vil Østlandssamarbeidet påpeke at det ikke alltid er samsvar mellom uttalte holdninger (</w:t>
      </w:r>
      <w:proofErr w:type="spellStart"/>
      <w:r w:rsidRPr="006C6C6A">
        <w:t>stated</w:t>
      </w:r>
      <w:proofErr w:type="spellEnd"/>
      <w:r w:rsidRPr="006C6C6A">
        <w:t xml:space="preserve"> </w:t>
      </w:r>
      <w:proofErr w:type="spellStart"/>
      <w:r w:rsidRPr="006C6C6A">
        <w:t>preference</w:t>
      </w:r>
      <w:proofErr w:type="spellEnd"/>
      <w:r w:rsidRPr="006C6C6A">
        <w:t>) og faktisk atferd (</w:t>
      </w:r>
      <w:proofErr w:type="spellStart"/>
      <w:r w:rsidRPr="006C6C6A">
        <w:t>revealed</w:t>
      </w:r>
      <w:proofErr w:type="spellEnd"/>
      <w:r w:rsidRPr="006C6C6A">
        <w:t xml:space="preserve"> </w:t>
      </w:r>
      <w:proofErr w:type="spellStart"/>
      <w:r w:rsidRPr="006C6C6A">
        <w:t>preference</w:t>
      </w:r>
      <w:proofErr w:type="spellEnd"/>
      <w:r w:rsidRPr="006C6C6A">
        <w:t xml:space="preserve">) hos publikum. </w:t>
      </w:r>
    </w:p>
    <w:p w:rsidR="006C6C6A" w:rsidRPr="006C6C6A" w:rsidRDefault="006C6C6A" w:rsidP="006C6C6A"/>
    <w:p w:rsidR="006C6C6A" w:rsidRPr="006C6C6A" w:rsidRDefault="006C6C6A" w:rsidP="006C6C6A">
      <w:r w:rsidRPr="006C6C6A">
        <w:t xml:space="preserve">De senere årene har medlemmene i Østlandssamarbeidet arbeidet med å forenkle prisstrukturen. Dette har vært et ledd i arbeidet med å gjøre det enklere og mer attraktivt å reise kollektivt. En innføring av tidsdifferensierte takster vil være et kompliserende element og et skritt i motsatt retning.  </w:t>
      </w:r>
    </w:p>
    <w:p w:rsidR="006C6C6A" w:rsidRPr="006C6C6A" w:rsidRDefault="006C6C6A" w:rsidP="006C6C6A"/>
    <w:p w:rsidR="006C6C6A" w:rsidRPr="006C6C6A" w:rsidRDefault="006C6C6A" w:rsidP="006C6C6A">
      <w:r w:rsidRPr="006C6C6A">
        <w:t>I tillegg til å være et kompliserende element, frykter Østlandssamarbeidet at innføring av tidsdifferensierte takster vil resultere i negative kundereaksjoner, særlig fra kunder som reiser ofte kollektivt og som:</w:t>
      </w:r>
    </w:p>
    <w:p w:rsidR="006C6C6A" w:rsidRPr="006C6C6A" w:rsidRDefault="006C6C6A" w:rsidP="006C6C6A">
      <w:pPr>
        <w:numPr>
          <w:ilvl w:val="0"/>
          <w:numId w:val="6"/>
        </w:numPr>
        <w:spacing w:after="160" w:line="259" w:lineRule="auto"/>
        <w:contextualSpacing/>
      </w:pPr>
      <w:r w:rsidRPr="006C6C6A">
        <w:t>opplever seg selv som lojale kunder og en viktig kundegruppe, som bidrar med store billettinntekter til kollektivtrafikken</w:t>
      </w:r>
    </w:p>
    <w:p w:rsidR="006C6C6A" w:rsidRPr="006C6C6A" w:rsidRDefault="006C6C6A" w:rsidP="006C6C6A">
      <w:pPr>
        <w:numPr>
          <w:ilvl w:val="0"/>
          <w:numId w:val="6"/>
        </w:numPr>
        <w:spacing w:after="160" w:line="259" w:lineRule="auto"/>
        <w:contextualSpacing/>
      </w:pPr>
      <w:r w:rsidRPr="006C6C6A">
        <w:t>bidrar til å redusere bilkøer og miljøproblemer ved å reise kollektivt</w:t>
      </w:r>
    </w:p>
    <w:p w:rsidR="006C6C6A" w:rsidRPr="006C6C6A" w:rsidRDefault="006C6C6A" w:rsidP="006C6C6A">
      <w:pPr>
        <w:numPr>
          <w:ilvl w:val="0"/>
          <w:numId w:val="6"/>
        </w:numPr>
        <w:spacing w:after="160" w:line="259" w:lineRule="auto"/>
        <w:contextualSpacing/>
      </w:pPr>
      <w:r w:rsidRPr="006C6C6A">
        <w:t>ofte opplever overfylte transportmidler og mindre behagelige kollektivreiser, enn de som reiser utenom rush</w:t>
      </w:r>
    </w:p>
    <w:p w:rsidR="006C6C6A" w:rsidRPr="006C6C6A" w:rsidRDefault="006C6C6A" w:rsidP="006C6C6A">
      <w:r w:rsidRPr="006C6C6A">
        <w:t>Dessuten tilsier erfaring at selv om det er prisene utenom rush som reduseres, vil dette etter kort tid av markedet oppfattes stikk motsatt. Den rabatterte prisen utenfor rush vil oppfattes som normalprisen, med et prispåslag i rush. Tidsdifferensiert prising ble for øvrig foreslått som en mulighet i 2012 da Ruter ble bedt om innspill til Oslopakke 3 og nasjonal transportplan. Forslaget vakte omgående sterke negative reaksjoner i store deler av det politiske miljøet. Høyere priser på reiser til/fra arbeid og skole (dvs. rushtiden), ble vurdert som lite egnet til å motivere til økt bruk av kollektivtrafikken. Enkelte mente til og med at tiltaket ville virke mot sin hensikt, og bidra til at folk vurderer andre transportalternativer.</w:t>
      </w:r>
    </w:p>
    <w:p w:rsidR="006C6C6A" w:rsidRPr="006C6C6A" w:rsidRDefault="006C6C6A" w:rsidP="006C6C6A"/>
    <w:p w:rsidR="006C6C6A" w:rsidRDefault="006C6C6A" w:rsidP="006C6C6A">
      <w:r w:rsidRPr="006C6C6A">
        <w:t xml:space="preserve">I rapporten foreslås det også et produkttillegg for skinnegående transportmidler (først og fremst tog). Hensikten er å redusere tilskuddsbehovet for de berørte driftsarter. Medlemmene i Østlandssamarbeidet mener målet må være å skape gode og helhetlige løsninger, på tvers av driftsarter, fylker (og tidsperioder). Produkttillegg og særordninger knyttet til enkelte transportmidler bidrar til å gjøre tilbudet mer komplisert, og mindre attraktivt for kundene, istedenfor det motsatte. </w:t>
      </w:r>
    </w:p>
    <w:p w:rsidR="006C6C6A" w:rsidRPr="006C6C6A" w:rsidRDefault="006C6C6A" w:rsidP="006C6C6A"/>
    <w:p w:rsidR="006C6C6A" w:rsidRPr="006C6C6A" w:rsidRDefault="006C6C6A" w:rsidP="006C6C6A">
      <w:pPr>
        <w:rPr>
          <w:rFonts w:asciiTheme="majorHAnsi" w:eastAsiaTheme="majorEastAsia" w:hAnsiTheme="majorHAnsi" w:cstheme="majorBidi"/>
          <w:color w:val="365F91" w:themeColor="accent1" w:themeShade="BF"/>
          <w:sz w:val="26"/>
          <w:szCs w:val="26"/>
        </w:rPr>
      </w:pPr>
      <w:r w:rsidRPr="006C6C6A">
        <w:rPr>
          <w:rFonts w:asciiTheme="majorHAnsi" w:eastAsiaTheme="majorEastAsia" w:hAnsiTheme="majorHAnsi" w:cstheme="majorBidi"/>
          <w:color w:val="365F91" w:themeColor="accent1" w:themeShade="BF"/>
          <w:sz w:val="26"/>
          <w:szCs w:val="26"/>
        </w:rPr>
        <w:t>Statlige rabattordninger</w:t>
      </w:r>
    </w:p>
    <w:p w:rsidR="006C6C6A" w:rsidRPr="006C6C6A" w:rsidRDefault="006C6C6A" w:rsidP="006C6C6A">
      <w:r w:rsidRPr="006C6C6A">
        <w:t xml:space="preserve">Østlandssamarbeidet er enig i at grunnlaget for honnørrabatten i sin nåværende form er svekket, og at den evt. bør fjernes eller erstattes av mer spissede ordninger. </w:t>
      </w:r>
    </w:p>
    <w:p w:rsidR="006C6C6A" w:rsidRPr="006C6C6A" w:rsidRDefault="006C6C6A" w:rsidP="006C6C6A"/>
    <w:p w:rsidR="006C6C6A" w:rsidRPr="006C6C6A" w:rsidRDefault="006C6C6A" w:rsidP="006C6C6A"/>
    <w:p w:rsidR="006C6C6A" w:rsidRPr="006C6C6A" w:rsidRDefault="006C6C6A" w:rsidP="006C6C6A">
      <w:pPr>
        <w:rPr>
          <w:b/>
        </w:rPr>
      </w:pPr>
      <w:r w:rsidRPr="006C6C6A">
        <w:rPr>
          <w:rFonts w:asciiTheme="majorHAnsi" w:eastAsiaTheme="majorEastAsia" w:hAnsiTheme="majorHAnsi" w:cstheme="majorBidi"/>
          <w:color w:val="365F91" w:themeColor="accent1" w:themeShade="BF"/>
          <w:sz w:val="26"/>
          <w:szCs w:val="26"/>
        </w:rPr>
        <w:t>Avslutning</w:t>
      </w:r>
    </w:p>
    <w:p w:rsidR="006C6C6A" w:rsidRPr="006C6C6A" w:rsidRDefault="006C6C6A" w:rsidP="006C6C6A">
      <w:r w:rsidRPr="006C6C6A">
        <w:t xml:space="preserve">Avslutningsvis vil vi påpeke at et harmonisering av takstsystemer ikke bare handler om (1) harmonisering av kundekategorier og reiseprodukter, (2) mer effektiv prising og (3) statlige rabattordninger. Man kan også bidra til harmonisering ved f.eks. organisatorisk tilrettelegging, finansiell tilrettelegging, </w:t>
      </w:r>
      <w:proofErr w:type="spellStart"/>
      <w:r w:rsidRPr="006C6C6A">
        <w:t>omdefinering</w:t>
      </w:r>
      <w:proofErr w:type="spellEnd"/>
      <w:r w:rsidRPr="006C6C6A">
        <w:t xml:space="preserve"> av ansvar og myndighet, tydeliggjøring av forpliktelser og konsekvenser i Håndbøker og avtaler etc. Rapporten gir dermed, etter vår mening, ikke et fullstendig bilde eller konklusjon på hva som kan oppnås ved samordning/harmonisering.  </w:t>
      </w:r>
    </w:p>
    <w:p w:rsidR="006C6C6A" w:rsidRPr="006C6C6A" w:rsidRDefault="006C6C6A" w:rsidP="006C6C6A"/>
    <w:p w:rsidR="006C6C6A" w:rsidRPr="006C6C6A" w:rsidRDefault="006C6C6A" w:rsidP="006C6C6A">
      <w:pPr>
        <w:autoSpaceDE w:val="0"/>
        <w:autoSpaceDN w:val="0"/>
        <w:adjustRightInd w:val="0"/>
        <w:rPr>
          <w:b/>
        </w:rPr>
      </w:pPr>
      <w:r w:rsidRPr="006C6C6A">
        <w:rPr>
          <w:b/>
        </w:rPr>
        <w:lastRenderedPageBreak/>
        <w:t>Østlandssamarbeidet ber samferdselsdepartementet klargjøre hvordan man vil følge opp arbeidet med implementering av gjennomgående billettering og felles kundekategorier.</w:t>
      </w:r>
    </w:p>
    <w:p w:rsidR="00331F1C" w:rsidRDefault="00331F1C"/>
    <w:p w:rsidR="00331F1C" w:rsidRDefault="00331F1C"/>
    <w:p w:rsidR="00331F1C" w:rsidRDefault="00331F1C"/>
    <w:p w:rsidR="00331F1C" w:rsidRDefault="00485522">
      <w:r>
        <w:t>Med vennlig hilsen</w:t>
      </w:r>
    </w:p>
    <w:p w:rsidR="00331F1C" w:rsidRDefault="00331F1C"/>
    <w:p w:rsidR="00331F1C" w:rsidRDefault="00331F1C"/>
    <w:p w:rsidR="00331F1C" w:rsidRDefault="006C6C6A">
      <w:r>
        <w:rPr>
          <w:noProof/>
        </w:rPr>
        <w:drawing>
          <wp:inline distT="0" distB="0" distL="0" distR="0">
            <wp:extent cx="760719" cy="382486"/>
            <wp:effectExtent l="0" t="0" r="190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5114" cy="394752"/>
                    </a:xfrm>
                    <a:prstGeom prst="rect">
                      <a:avLst/>
                    </a:prstGeom>
                    <a:noFill/>
                    <a:ln>
                      <a:noFill/>
                    </a:ln>
                  </pic:spPr>
                </pic:pic>
              </a:graphicData>
            </a:graphic>
          </wp:inline>
        </w:drawing>
      </w:r>
    </w:p>
    <w:p w:rsidR="00331F1C" w:rsidRDefault="006C6C6A">
      <w:r>
        <w:t>Roger Ryberg</w:t>
      </w:r>
    </w:p>
    <w:p w:rsidR="00331F1C" w:rsidRDefault="006C6C6A">
      <w:r>
        <w:t>Leder av kontaktutvalget</w:t>
      </w:r>
    </w:p>
    <w:p w:rsidR="00331F1C" w:rsidRDefault="00331F1C"/>
    <w:p w:rsidR="00331F1C" w:rsidRDefault="00485522">
      <w:pPr>
        <w:pStyle w:val="Bunntekst"/>
        <w:tabs>
          <w:tab w:val="clear" w:pos="4536"/>
          <w:tab w:val="clear" w:pos="9072"/>
          <w:tab w:val="left" w:pos="5040"/>
        </w:tabs>
      </w:pPr>
      <w:r>
        <w:tab/>
      </w:r>
      <w:bookmarkStart w:id="18" w:name="SAKSBEHANDLERNAVN"/>
      <w:r w:rsidR="00D43783">
        <w:t>Jon Petter Arntzen</w:t>
      </w:r>
      <w:bookmarkEnd w:id="18"/>
    </w:p>
    <w:p w:rsidR="00331F1C" w:rsidRDefault="00485522">
      <w:pPr>
        <w:pStyle w:val="Bunntekst"/>
        <w:tabs>
          <w:tab w:val="clear" w:pos="4536"/>
          <w:tab w:val="clear" w:pos="9072"/>
          <w:tab w:val="left" w:pos="5040"/>
        </w:tabs>
      </w:pPr>
      <w:r>
        <w:tab/>
      </w:r>
      <w:bookmarkStart w:id="19" w:name="SAKSBEHANDLERSTILLING"/>
      <w:r w:rsidR="00D43783">
        <w:t>sekretariatsleder</w:t>
      </w:r>
      <w:bookmarkEnd w:id="19"/>
    </w:p>
    <w:p w:rsidR="00331F1C" w:rsidRDefault="00331F1C"/>
    <w:p w:rsidR="00331F1C" w:rsidRDefault="00331F1C"/>
    <w:p w:rsidR="00D43783" w:rsidRDefault="00D43783"/>
    <w:tbl>
      <w:tblPr>
        <w:tblW w:w="0" w:type="auto"/>
        <w:tblLook w:val="0000" w:firstRow="0" w:lastRow="0" w:firstColumn="0" w:lastColumn="0" w:noHBand="0" w:noVBand="0"/>
      </w:tblPr>
      <w:tblGrid>
        <w:gridCol w:w="1868"/>
        <w:gridCol w:w="7514"/>
      </w:tblGrid>
      <w:tr w:rsidR="00331F1C">
        <w:tc>
          <w:tcPr>
            <w:tcW w:w="1908" w:type="dxa"/>
          </w:tcPr>
          <w:p w:rsidR="00331F1C" w:rsidRDefault="00331F1C"/>
        </w:tc>
        <w:tc>
          <w:tcPr>
            <w:tcW w:w="7690" w:type="dxa"/>
          </w:tcPr>
          <w:p w:rsidR="00331F1C" w:rsidRDefault="00331F1C"/>
        </w:tc>
      </w:tr>
    </w:tbl>
    <w:p w:rsidR="00331F1C" w:rsidRDefault="00331F1C"/>
    <w:sectPr w:rsidR="00331F1C">
      <w:headerReference w:type="even" r:id="rId8"/>
      <w:headerReference w:type="default" r:id="rId9"/>
      <w:footerReference w:type="even" r:id="rId10"/>
      <w:footerReference w:type="default" r:id="rId11"/>
      <w:headerReference w:type="first" r:id="rId12"/>
      <w:footerReference w:type="first" r:id="rId13"/>
      <w:pgSz w:w="11906" w:h="16838" w:code="9"/>
      <w:pgMar w:top="1418" w:right="1106" w:bottom="1418" w:left="1418" w:header="902" w:footer="284" w:gutter="0"/>
      <w:paperSrc w:first="1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4C9" w:rsidRDefault="00D554C9">
      <w:r>
        <w:separator/>
      </w:r>
    </w:p>
    <w:p w:rsidR="00D554C9" w:rsidRDefault="00D554C9"/>
    <w:p w:rsidR="00D554C9" w:rsidRDefault="00D554C9"/>
    <w:p w:rsidR="00D554C9" w:rsidRDefault="00D554C9"/>
    <w:p w:rsidR="00D554C9" w:rsidRDefault="00D554C9"/>
    <w:p w:rsidR="00D554C9" w:rsidRDefault="00D554C9"/>
    <w:p w:rsidR="00D554C9" w:rsidRDefault="00D554C9"/>
    <w:p w:rsidR="00D554C9" w:rsidRDefault="00D554C9"/>
  </w:endnote>
  <w:endnote w:type="continuationSeparator" w:id="0">
    <w:p w:rsidR="00D554C9" w:rsidRDefault="00D554C9">
      <w:r>
        <w:continuationSeparator/>
      </w:r>
    </w:p>
    <w:p w:rsidR="00D554C9" w:rsidRDefault="00D554C9"/>
    <w:p w:rsidR="00D554C9" w:rsidRDefault="00D554C9"/>
    <w:p w:rsidR="00D554C9" w:rsidRDefault="00D554C9"/>
    <w:p w:rsidR="00D554C9" w:rsidRDefault="00D554C9"/>
    <w:p w:rsidR="00D554C9" w:rsidRDefault="00D554C9"/>
    <w:p w:rsidR="00D554C9" w:rsidRDefault="00D554C9"/>
    <w:p w:rsidR="00D554C9" w:rsidRDefault="00D55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05" w:rsidRDefault="0031550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505" w:rsidRDefault="0031550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1C" w:rsidRDefault="00331F1C">
    <w:pPr>
      <w:pStyle w:val="Bunntekst"/>
      <w:rPr>
        <w:sz w:val="16"/>
      </w:rPr>
    </w:pPr>
  </w:p>
  <w:tbl>
    <w:tblPr>
      <w:tblW w:w="9360" w:type="dxa"/>
      <w:tblInd w:w="108" w:type="dxa"/>
      <w:tblLook w:val="01E0" w:firstRow="1" w:lastRow="1" w:firstColumn="1" w:lastColumn="1" w:noHBand="0" w:noVBand="0"/>
    </w:tblPr>
    <w:tblGrid>
      <w:gridCol w:w="1376"/>
      <w:gridCol w:w="5569"/>
      <w:gridCol w:w="795"/>
      <w:gridCol w:w="1620"/>
    </w:tblGrid>
    <w:tr w:rsidR="00331F1C">
      <w:trPr>
        <w:cantSplit/>
      </w:trPr>
      <w:tc>
        <w:tcPr>
          <w:tcW w:w="6945" w:type="dxa"/>
          <w:gridSpan w:val="2"/>
          <w:tcBorders>
            <w:top w:val="single" w:sz="4" w:space="0" w:color="auto"/>
          </w:tcBorders>
        </w:tcPr>
        <w:p w:rsidR="00331F1C" w:rsidRDefault="00331F1C">
          <w:pPr>
            <w:pStyle w:val="Overskrift4"/>
            <w:rPr>
              <w:rFonts w:ascii="Garamond" w:hAnsi="Garamond"/>
              <w:sz w:val="16"/>
            </w:rPr>
          </w:pPr>
        </w:p>
      </w:tc>
      <w:tc>
        <w:tcPr>
          <w:tcW w:w="2415" w:type="dxa"/>
          <w:gridSpan w:val="2"/>
          <w:tcBorders>
            <w:top w:val="single" w:sz="4" w:space="0" w:color="auto"/>
          </w:tcBorders>
        </w:tcPr>
        <w:p w:rsidR="00331F1C" w:rsidRDefault="00331F1C">
          <w:pPr>
            <w:pStyle w:val="Overskrift4"/>
            <w:rPr>
              <w:rFonts w:ascii="Garamond" w:hAnsi="Garamond"/>
              <w:sz w:val="16"/>
            </w:rPr>
          </w:pPr>
        </w:p>
      </w:tc>
    </w:tr>
    <w:tr w:rsidR="00331F1C">
      <w:trPr>
        <w:cantSplit/>
      </w:trPr>
      <w:tc>
        <w:tcPr>
          <w:tcW w:w="1376" w:type="dxa"/>
        </w:tcPr>
        <w:p w:rsidR="00331F1C" w:rsidRDefault="00485522">
          <w:pPr>
            <w:pStyle w:val="Overskrift4"/>
            <w:rPr>
              <w:rFonts w:ascii="Garamond" w:hAnsi="Garamond"/>
              <w:bCs w:val="0"/>
              <w:sz w:val="16"/>
            </w:rPr>
          </w:pPr>
          <w:r>
            <w:rPr>
              <w:rFonts w:ascii="Garamond" w:hAnsi="Garamond"/>
              <w:bCs w:val="0"/>
              <w:sz w:val="16"/>
            </w:rPr>
            <w:t>Postadresse</w:t>
          </w:r>
        </w:p>
      </w:tc>
      <w:tc>
        <w:tcPr>
          <w:tcW w:w="5569" w:type="dxa"/>
        </w:tcPr>
        <w:p w:rsidR="00331F1C" w:rsidRDefault="00485522">
          <w:pPr>
            <w:rPr>
              <w:rFonts w:ascii="Garamond" w:hAnsi="Garamond"/>
              <w:sz w:val="16"/>
              <w:szCs w:val="16"/>
            </w:rPr>
          </w:pPr>
          <w:r>
            <w:rPr>
              <w:rFonts w:ascii="Garamond" w:hAnsi="Garamond"/>
              <w:sz w:val="16"/>
              <w:szCs w:val="16"/>
            </w:rPr>
            <w:t>Østlandssamarbeidet, c/o Akershus fylkeskommune,</w:t>
          </w:r>
        </w:p>
      </w:tc>
      <w:tc>
        <w:tcPr>
          <w:tcW w:w="795" w:type="dxa"/>
        </w:tcPr>
        <w:p w:rsidR="00331F1C" w:rsidRDefault="00485522">
          <w:pPr>
            <w:pStyle w:val="Overskrift4"/>
            <w:rPr>
              <w:rFonts w:ascii="Garamond" w:hAnsi="Garamond"/>
              <w:sz w:val="16"/>
            </w:rPr>
          </w:pPr>
          <w:r>
            <w:rPr>
              <w:rFonts w:ascii="Garamond" w:hAnsi="Garamond"/>
              <w:sz w:val="16"/>
            </w:rPr>
            <w:t>Telefon</w:t>
          </w:r>
        </w:p>
      </w:tc>
      <w:tc>
        <w:tcPr>
          <w:tcW w:w="1620" w:type="dxa"/>
        </w:tcPr>
        <w:p w:rsidR="00331F1C" w:rsidRDefault="00485522">
          <w:pPr>
            <w:rPr>
              <w:rFonts w:ascii="Garamond" w:hAnsi="Garamond"/>
              <w:sz w:val="16"/>
              <w:szCs w:val="16"/>
            </w:rPr>
          </w:pPr>
          <w:r>
            <w:rPr>
              <w:rFonts w:ascii="Garamond" w:hAnsi="Garamond"/>
              <w:sz w:val="16"/>
              <w:szCs w:val="16"/>
            </w:rPr>
            <w:t>(+47) 22 05 50 00</w:t>
          </w:r>
        </w:p>
      </w:tc>
    </w:tr>
    <w:tr w:rsidR="00331F1C">
      <w:trPr>
        <w:cantSplit/>
      </w:trPr>
      <w:tc>
        <w:tcPr>
          <w:tcW w:w="1376" w:type="dxa"/>
        </w:tcPr>
        <w:p w:rsidR="00331F1C" w:rsidRDefault="00331F1C">
          <w:pPr>
            <w:rPr>
              <w:rFonts w:ascii="Garamond" w:hAnsi="Garamond"/>
              <w:sz w:val="16"/>
              <w:szCs w:val="16"/>
            </w:rPr>
          </w:pPr>
        </w:p>
      </w:tc>
      <w:tc>
        <w:tcPr>
          <w:tcW w:w="5569" w:type="dxa"/>
        </w:tcPr>
        <w:p w:rsidR="00331F1C" w:rsidRDefault="00485522">
          <w:pPr>
            <w:rPr>
              <w:rFonts w:ascii="Garamond" w:hAnsi="Garamond"/>
              <w:sz w:val="16"/>
              <w:szCs w:val="16"/>
            </w:rPr>
          </w:pPr>
          <w:r>
            <w:rPr>
              <w:rFonts w:ascii="Garamond" w:hAnsi="Garamond"/>
              <w:sz w:val="16"/>
              <w:szCs w:val="16"/>
            </w:rPr>
            <w:t>Pb 1200 Sentrum, 0107 OSLO</w:t>
          </w:r>
        </w:p>
      </w:tc>
      <w:tc>
        <w:tcPr>
          <w:tcW w:w="795" w:type="dxa"/>
        </w:tcPr>
        <w:p w:rsidR="00331F1C" w:rsidRDefault="00331F1C">
          <w:pPr>
            <w:rPr>
              <w:rFonts w:ascii="Garamond" w:hAnsi="Garamond"/>
              <w:sz w:val="16"/>
              <w:szCs w:val="16"/>
            </w:rPr>
          </w:pPr>
        </w:p>
      </w:tc>
      <w:tc>
        <w:tcPr>
          <w:tcW w:w="1620" w:type="dxa"/>
        </w:tcPr>
        <w:p w:rsidR="00331F1C" w:rsidRDefault="00331F1C">
          <w:pPr>
            <w:rPr>
              <w:rFonts w:ascii="Garamond" w:hAnsi="Garamond"/>
              <w:sz w:val="16"/>
              <w:szCs w:val="16"/>
            </w:rPr>
          </w:pPr>
        </w:p>
      </w:tc>
    </w:tr>
    <w:tr w:rsidR="00331F1C">
      <w:trPr>
        <w:cantSplit/>
      </w:trPr>
      <w:tc>
        <w:tcPr>
          <w:tcW w:w="1376" w:type="dxa"/>
        </w:tcPr>
        <w:p w:rsidR="00331F1C" w:rsidRDefault="00331F1C">
          <w:pPr>
            <w:rPr>
              <w:rFonts w:ascii="Garamond" w:hAnsi="Garamond"/>
              <w:sz w:val="16"/>
              <w:szCs w:val="16"/>
            </w:rPr>
          </w:pPr>
        </w:p>
      </w:tc>
      <w:tc>
        <w:tcPr>
          <w:tcW w:w="5569" w:type="dxa"/>
        </w:tcPr>
        <w:p w:rsidR="00331F1C" w:rsidRDefault="00331F1C">
          <w:pPr>
            <w:rPr>
              <w:rFonts w:ascii="Garamond" w:hAnsi="Garamond"/>
              <w:sz w:val="16"/>
              <w:szCs w:val="16"/>
            </w:rPr>
          </w:pPr>
        </w:p>
      </w:tc>
      <w:tc>
        <w:tcPr>
          <w:tcW w:w="795" w:type="dxa"/>
        </w:tcPr>
        <w:p w:rsidR="00331F1C" w:rsidRDefault="00331F1C">
          <w:pPr>
            <w:rPr>
              <w:rFonts w:ascii="Garamond" w:hAnsi="Garamond"/>
              <w:sz w:val="16"/>
              <w:szCs w:val="16"/>
            </w:rPr>
          </w:pPr>
        </w:p>
      </w:tc>
      <w:tc>
        <w:tcPr>
          <w:tcW w:w="1620" w:type="dxa"/>
        </w:tcPr>
        <w:p w:rsidR="00331F1C" w:rsidRDefault="00331F1C">
          <w:pPr>
            <w:rPr>
              <w:rFonts w:ascii="Garamond" w:hAnsi="Garamond"/>
              <w:sz w:val="16"/>
              <w:szCs w:val="16"/>
            </w:rPr>
          </w:pPr>
        </w:p>
      </w:tc>
    </w:tr>
    <w:tr w:rsidR="00331F1C">
      <w:trPr>
        <w:cantSplit/>
      </w:trPr>
      <w:tc>
        <w:tcPr>
          <w:tcW w:w="1376" w:type="dxa"/>
        </w:tcPr>
        <w:p w:rsidR="00331F1C" w:rsidRDefault="00485522">
          <w:pPr>
            <w:pStyle w:val="Overskrift4"/>
            <w:rPr>
              <w:rFonts w:ascii="Garamond" w:hAnsi="Garamond"/>
              <w:sz w:val="16"/>
            </w:rPr>
          </w:pPr>
          <w:r>
            <w:rPr>
              <w:rFonts w:ascii="Garamond" w:hAnsi="Garamond"/>
              <w:sz w:val="16"/>
            </w:rPr>
            <w:t>Besøksadresse</w:t>
          </w:r>
        </w:p>
      </w:tc>
      <w:tc>
        <w:tcPr>
          <w:tcW w:w="5569" w:type="dxa"/>
        </w:tcPr>
        <w:p w:rsidR="00331F1C" w:rsidRDefault="00485522">
          <w:pPr>
            <w:pStyle w:val="Overskrift4"/>
            <w:rPr>
              <w:rFonts w:ascii="Garamond" w:hAnsi="Garamond"/>
              <w:b w:val="0"/>
              <w:bCs w:val="0"/>
              <w:sz w:val="16"/>
            </w:rPr>
          </w:pPr>
          <w:r>
            <w:rPr>
              <w:rFonts w:ascii="Garamond" w:hAnsi="Garamond"/>
              <w:b w:val="0"/>
              <w:bCs w:val="0"/>
              <w:sz w:val="16"/>
              <w:szCs w:val="16"/>
            </w:rPr>
            <w:t>Schweigaards gate 4, 0185 Oslo</w:t>
          </w:r>
        </w:p>
      </w:tc>
      <w:tc>
        <w:tcPr>
          <w:tcW w:w="795" w:type="dxa"/>
        </w:tcPr>
        <w:p w:rsidR="00331F1C" w:rsidRDefault="00485522">
          <w:pPr>
            <w:pStyle w:val="Overskrift4"/>
            <w:rPr>
              <w:rFonts w:ascii="Garamond" w:hAnsi="Garamond"/>
              <w:sz w:val="16"/>
            </w:rPr>
          </w:pPr>
          <w:r>
            <w:rPr>
              <w:rFonts w:ascii="Garamond" w:hAnsi="Garamond"/>
              <w:sz w:val="16"/>
            </w:rPr>
            <w:t>Telefaks</w:t>
          </w:r>
        </w:p>
      </w:tc>
      <w:tc>
        <w:tcPr>
          <w:tcW w:w="1620" w:type="dxa"/>
        </w:tcPr>
        <w:p w:rsidR="00331F1C" w:rsidRDefault="00485522">
          <w:pPr>
            <w:pStyle w:val="Overskrift4"/>
            <w:rPr>
              <w:rFonts w:ascii="Garamond" w:hAnsi="Garamond"/>
              <w:b w:val="0"/>
              <w:bCs w:val="0"/>
              <w:sz w:val="16"/>
            </w:rPr>
          </w:pPr>
          <w:r>
            <w:rPr>
              <w:rFonts w:ascii="Garamond" w:hAnsi="Garamond"/>
              <w:b w:val="0"/>
              <w:bCs w:val="0"/>
              <w:sz w:val="16"/>
              <w:szCs w:val="16"/>
            </w:rPr>
            <w:t xml:space="preserve">(+47) </w:t>
          </w:r>
          <w:r w:rsidR="00315505" w:rsidRPr="00315505">
            <w:rPr>
              <w:rFonts w:ascii="Garamond" w:hAnsi="Garamond"/>
              <w:b w:val="0"/>
              <w:sz w:val="16"/>
              <w:szCs w:val="16"/>
            </w:rPr>
            <w:t>22 05 50 88</w:t>
          </w:r>
        </w:p>
      </w:tc>
    </w:tr>
    <w:tr w:rsidR="00331F1C">
      <w:trPr>
        <w:cantSplit/>
      </w:trPr>
      <w:tc>
        <w:tcPr>
          <w:tcW w:w="1376" w:type="dxa"/>
        </w:tcPr>
        <w:p w:rsidR="00331F1C" w:rsidRDefault="00331F1C">
          <w:pPr>
            <w:rPr>
              <w:rFonts w:ascii="Garamond" w:hAnsi="Garamond"/>
              <w:sz w:val="16"/>
              <w:szCs w:val="16"/>
            </w:rPr>
          </w:pPr>
        </w:p>
      </w:tc>
      <w:tc>
        <w:tcPr>
          <w:tcW w:w="5569" w:type="dxa"/>
        </w:tcPr>
        <w:p w:rsidR="00331F1C" w:rsidRDefault="00331F1C">
          <w:pPr>
            <w:pStyle w:val="Overskrift4"/>
            <w:rPr>
              <w:rFonts w:ascii="Garamond" w:hAnsi="Garamond"/>
              <w:sz w:val="16"/>
            </w:rPr>
          </w:pPr>
        </w:p>
      </w:tc>
      <w:tc>
        <w:tcPr>
          <w:tcW w:w="795" w:type="dxa"/>
        </w:tcPr>
        <w:p w:rsidR="00331F1C" w:rsidRDefault="00331F1C">
          <w:pPr>
            <w:pStyle w:val="Overskrift4"/>
            <w:rPr>
              <w:rFonts w:ascii="Garamond" w:hAnsi="Garamond"/>
              <w:sz w:val="16"/>
            </w:rPr>
          </w:pPr>
        </w:p>
      </w:tc>
      <w:tc>
        <w:tcPr>
          <w:tcW w:w="1620" w:type="dxa"/>
        </w:tcPr>
        <w:p w:rsidR="00331F1C" w:rsidRDefault="00331F1C">
          <w:pPr>
            <w:pStyle w:val="Overskrift4"/>
            <w:rPr>
              <w:rFonts w:ascii="Garamond" w:hAnsi="Garamond"/>
              <w:b w:val="0"/>
              <w:bCs w:val="0"/>
              <w:sz w:val="16"/>
            </w:rPr>
          </w:pPr>
        </w:p>
      </w:tc>
    </w:tr>
    <w:tr w:rsidR="00331F1C">
      <w:trPr>
        <w:cantSplit/>
      </w:trPr>
      <w:tc>
        <w:tcPr>
          <w:tcW w:w="1376" w:type="dxa"/>
        </w:tcPr>
        <w:p w:rsidR="00331F1C" w:rsidRDefault="00485522">
          <w:pPr>
            <w:pStyle w:val="Overskrift5"/>
            <w:rPr>
              <w:rFonts w:ascii="Garamond" w:hAnsi="Garamond"/>
              <w:snapToGrid/>
              <w:szCs w:val="16"/>
            </w:rPr>
          </w:pPr>
          <w:r>
            <w:rPr>
              <w:rFonts w:ascii="Garamond" w:hAnsi="Garamond"/>
              <w:snapToGrid/>
              <w:szCs w:val="16"/>
            </w:rPr>
            <w:t>Internettadresse</w:t>
          </w:r>
        </w:p>
      </w:tc>
      <w:tc>
        <w:tcPr>
          <w:tcW w:w="5569" w:type="dxa"/>
        </w:tcPr>
        <w:p w:rsidR="00331F1C" w:rsidRDefault="00485522">
          <w:pPr>
            <w:rPr>
              <w:rFonts w:ascii="Garamond" w:hAnsi="Garamond"/>
              <w:sz w:val="16"/>
              <w:szCs w:val="16"/>
            </w:rPr>
          </w:pPr>
          <w:proofErr w:type="spellStart"/>
          <w:r>
            <w:rPr>
              <w:rFonts w:ascii="Garamond" w:hAnsi="Garamond"/>
              <w:sz w:val="16"/>
              <w:szCs w:val="16"/>
            </w:rPr>
            <w:t>www</w:t>
          </w:r>
          <w:proofErr w:type="spellEnd"/>
          <w:r>
            <w:rPr>
              <w:rFonts w:ascii="Garamond" w:hAnsi="Garamond"/>
              <w:sz w:val="16"/>
              <w:szCs w:val="16"/>
            </w:rPr>
            <w:t>. ostsam.no</w:t>
          </w:r>
        </w:p>
      </w:tc>
      <w:tc>
        <w:tcPr>
          <w:tcW w:w="795" w:type="dxa"/>
        </w:tcPr>
        <w:p w:rsidR="00331F1C" w:rsidRDefault="00331F1C">
          <w:pPr>
            <w:rPr>
              <w:rFonts w:ascii="Garamond" w:hAnsi="Garamond"/>
              <w:sz w:val="16"/>
              <w:szCs w:val="16"/>
            </w:rPr>
          </w:pPr>
        </w:p>
      </w:tc>
      <w:tc>
        <w:tcPr>
          <w:tcW w:w="1620" w:type="dxa"/>
        </w:tcPr>
        <w:p w:rsidR="00331F1C" w:rsidRDefault="00331F1C">
          <w:pPr>
            <w:rPr>
              <w:rFonts w:ascii="Garamond" w:hAnsi="Garamond"/>
              <w:sz w:val="16"/>
              <w:szCs w:val="16"/>
            </w:rPr>
          </w:pPr>
        </w:p>
      </w:tc>
    </w:tr>
  </w:tbl>
  <w:p w:rsidR="00331F1C" w:rsidRDefault="00331F1C">
    <w:pPr>
      <w:pStyle w:val="Bunn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4C9" w:rsidRDefault="00D554C9">
      <w:r>
        <w:separator/>
      </w:r>
    </w:p>
    <w:p w:rsidR="00D554C9" w:rsidRDefault="00D554C9"/>
    <w:p w:rsidR="00D554C9" w:rsidRDefault="00D554C9"/>
    <w:p w:rsidR="00D554C9" w:rsidRDefault="00D554C9"/>
    <w:p w:rsidR="00D554C9" w:rsidRDefault="00D554C9"/>
    <w:p w:rsidR="00D554C9" w:rsidRDefault="00D554C9"/>
    <w:p w:rsidR="00D554C9" w:rsidRDefault="00D554C9"/>
    <w:p w:rsidR="00D554C9" w:rsidRDefault="00D554C9"/>
  </w:footnote>
  <w:footnote w:type="continuationSeparator" w:id="0">
    <w:p w:rsidR="00D554C9" w:rsidRDefault="00D554C9">
      <w:r>
        <w:continuationSeparator/>
      </w:r>
    </w:p>
    <w:p w:rsidR="00D554C9" w:rsidRDefault="00D554C9"/>
    <w:p w:rsidR="00D554C9" w:rsidRDefault="00D554C9"/>
    <w:p w:rsidR="00D554C9" w:rsidRDefault="00D554C9"/>
    <w:p w:rsidR="00D554C9" w:rsidRDefault="00D554C9"/>
    <w:p w:rsidR="00D554C9" w:rsidRDefault="00D554C9"/>
    <w:p w:rsidR="00D554C9" w:rsidRDefault="00D554C9"/>
    <w:p w:rsidR="00D554C9" w:rsidRDefault="00D554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1C" w:rsidRDefault="00331F1C"/>
  <w:p w:rsidR="00331F1C" w:rsidRDefault="00331F1C"/>
  <w:p w:rsidR="00331F1C" w:rsidRDefault="00331F1C"/>
  <w:p w:rsidR="00331F1C" w:rsidRDefault="00331F1C"/>
  <w:p w:rsidR="00331F1C" w:rsidRDefault="00331F1C"/>
  <w:p w:rsidR="00331F1C" w:rsidRDefault="00331F1C"/>
  <w:p w:rsidR="00331F1C" w:rsidRDefault="00331F1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1C" w:rsidRDefault="00485522">
    <w:pPr>
      <w:pStyle w:val="Topptekst"/>
      <w:tabs>
        <w:tab w:val="clear" w:pos="4536"/>
        <w:tab w:val="clear" w:pos="9072"/>
        <w:tab w:val="right" w:pos="9900"/>
      </w:tabs>
      <w:ind w:left="108"/>
    </w:pPr>
    <w:r>
      <w:tab/>
      <w:t xml:space="preserve">Side </w:t>
    </w:r>
    <w:r>
      <w:rPr>
        <w:rStyle w:val="Sidetall"/>
        <w:b/>
      </w:rPr>
      <w:fldChar w:fldCharType="begin"/>
    </w:r>
    <w:r>
      <w:rPr>
        <w:rStyle w:val="Sidetall"/>
        <w:b/>
      </w:rPr>
      <w:instrText xml:space="preserve"> PAGE </w:instrText>
    </w:r>
    <w:r>
      <w:rPr>
        <w:rStyle w:val="Sidetall"/>
        <w:b/>
      </w:rPr>
      <w:fldChar w:fldCharType="separate"/>
    </w:r>
    <w:r w:rsidR="00426465">
      <w:rPr>
        <w:rStyle w:val="Sidetall"/>
        <w:b/>
        <w:noProof/>
      </w:rPr>
      <w:t>3</w:t>
    </w:r>
    <w:r>
      <w:rPr>
        <w:rStyle w:val="Sidetall"/>
        <w:b/>
      </w:rPr>
      <w:fldChar w:fldCharType="end"/>
    </w:r>
    <w:r>
      <w:rPr>
        <w:rStyle w:val="Sidetall"/>
        <w:b/>
      </w:rPr>
      <w:t xml:space="preserve"> av </w:t>
    </w:r>
    <w:r>
      <w:rPr>
        <w:rStyle w:val="Sidetall"/>
        <w:b/>
      </w:rPr>
      <w:fldChar w:fldCharType="begin"/>
    </w:r>
    <w:r>
      <w:rPr>
        <w:rStyle w:val="Sidetall"/>
        <w:b/>
      </w:rPr>
      <w:instrText xml:space="preserve"> PAGE </w:instrText>
    </w:r>
    <w:r>
      <w:rPr>
        <w:rStyle w:val="Sidetall"/>
        <w:b/>
      </w:rPr>
      <w:fldChar w:fldCharType="separate"/>
    </w:r>
    <w:r w:rsidR="00426465">
      <w:rPr>
        <w:rStyle w:val="Sidetall"/>
        <w:b/>
        <w:noProof/>
      </w:rPr>
      <w:t>3</w:t>
    </w:r>
    <w:r>
      <w:rPr>
        <w:rStyle w:val="Sidetall"/>
        <w:b/>
      </w:rPr>
      <w:fldChar w:fldCharType="end"/>
    </w:r>
  </w:p>
  <w:p w:rsidR="00331F1C" w:rsidRDefault="00331F1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108" w:type="dxa"/>
      <w:tblLook w:val="00A0" w:firstRow="1" w:lastRow="0" w:firstColumn="1" w:lastColumn="0" w:noHBand="0" w:noVBand="0"/>
    </w:tblPr>
    <w:tblGrid>
      <w:gridCol w:w="9360"/>
    </w:tblGrid>
    <w:tr w:rsidR="00331F1C" w:rsidTr="00315505">
      <w:trPr>
        <w:cantSplit/>
        <w:trHeight w:hRule="exact" w:val="1425"/>
      </w:trPr>
      <w:tc>
        <w:tcPr>
          <w:tcW w:w="9360" w:type="dxa"/>
        </w:tcPr>
        <w:p w:rsidR="00331F1C" w:rsidRDefault="00315505">
          <w:pPr>
            <w:pStyle w:val="Topptekst"/>
            <w:rPr>
              <w:b/>
              <w:sz w:val="24"/>
              <w:szCs w:val="28"/>
            </w:rPr>
          </w:pPr>
          <w:r>
            <w:rPr>
              <w:noProof/>
            </w:rPr>
            <w:drawing>
              <wp:inline distT="0" distB="0" distL="0" distR="0" wp14:anchorId="72404F28" wp14:editId="2829AD2A">
                <wp:extent cx="3124835" cy="795020"/>
                <wp:effectExtent l="0" t="0" r="0" b="5080"/>
                <wp:docPr id="2" name="Bilde 2" descr="A:\LOGO119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GO1199.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835" cy="795020"/>
                        </a:xfrm>
                        <a:prstGeom prst="rect">
                          <a:avLst/>
                        </a:prstGeom>
                        <a:noFill/>
                        <a:ln>
                          <a:noFill/>
                        </a:ln>
                      </pic:spPr>
                    </pic:pic>
                  </a:graphicData>
                </a:graphic>
              </wp:inline>
            </w:drawing>
          </w:r>
        </w:p>
        <w:p w:rsidR="00315505" w:rsidRDefault="00315505">
          <w:pPr>
            <w:pStyle w:val="Topptekst"/>
            <w:rPr>
              <w:b/>
              <w:sz w:val="24"/>
              <w:szCs w:val="28"/>
            </w:rPr>
          </w:pPr>
        </w:p>
        <w:p w:rsidR="00315505" w:rsidRDefault="00315505">
          <w:pPr>
            <w:pStyle w:val="Topptekst"/>
            <w:rPr>
              <w:b/>
              <w:sz w:val="24"/>
              <w:szCs w:val="28"/>
            </w:rPr>
          </w:pPr>
        </w:p>
      </w:tc>
    </w:tr>
  </w:tbl>
  <w:p w:rsidR="00331F1C" w:rsidRDefault="00331F1C">
    <w:pPr>
      <w:pStyle w:val="Topptekst"/>
    </w:pPr>
  </w:p>
  <w:p w:rsidR="00331F1C" w:rsidRDefault="00331F1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4F60"/>
    <w:multiLevelType w:val="multilevel"/>
    <w:tmpl w:val="CB0888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9E26D2"/>
    <w:multiLevelType w:val="hybridMultilevel"/>
    <w:tmpl w:val="8E5014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C9"/>
    <w:rsid w:val="00315505"/>
    <w:rsid w:val="00331F1C"/>
    <w:rsid w:val="00345554"/>
    <w:rsid w:val="00426465"/>
    <w:rsid w:val="00485522"/>
    <w:rsid w:val="006C6C6A"/>
    <w:rsid w:val="0076683A"/>
    <w:rsid w:val="007D011E"/>
    <w:rsid w:val="00C65507"/>
    <w:rsid w:val="00D43783"/>
    <w:rsid w:val="00D554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FA72EF-184F-4CD3-B342-E8E02D58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pPr>
      <w:keepNext/>
      <w:spacing w:before="240" w:after="240"/>
      <w:outlineLvl w:val="0"/>
    </w:pPr>
    <w:rPr>
      <w:rFonts w:cs="Arial"/>
      <w:b/>
      <w:bCs/>
      <w:kern w:val="32"/>
      <w:szCs w:val="28"/>
    </w:rPr>
  </w:style>
  <w:style w:type="paragraph" w:styleId="Overskrift2">
    <w:name w:val="heading 2"/>
    <w:basedOn w:val="Normal"/>
    <w:next w:val="Normal"/>
    <w:qFormat/>
    <w:pPr>
      <w:keepNext/>
      <w:spacing w:before="240" w:after="120"/>
      <w:outlineLvl w:val="1"/>
    </w:pPr>
    <w:rPr>
      <w:rFonts w:cs="Arial"/>
      <w:b/>
      <w:bCs/>
      <w:iCs/>
      <w:szCs w:val="28"/>
    </w:rPr>
  </w:style>
  <w:style w:type="paragraph" w:styleId="Overskrift3">
    <w:name w:val="heading 3"/>
    <w:basedOn w:val="Normal"/>
    <w:next w:val="Normal"/>
    <w:autoRedefine/>
    <w:qFormat/>
    <w:pPr>
      <w:keepNext/>
      <w:spacing w:before="240" w:after="120"/>
      <w:outlineLvl w:val="2"/>
    </w:pPr>
    <w:rPr>
      <w:rFonts w:cs="Arial"/>
      <w:bCs/>
      <w:i/>
      <w:szCs w:val="26"/>
    </w:rPr>
  </w:style>
  <w:style w:type="paragraph" w:styleId="Overskrift4">
    <w:name w:val="heading 4"/>
    <w:basedOn w:val="Normal"/>
    <w:next w:val="Normal"/>
    <w:qFormat/>
    <w:pPr>
      <w:keepNext/>
      <w:outlineLvl w:val="3"/>
    </w:pPr>
    <w:rPr>
      <w:b/>
      <w:bCs/>
      <w:sz w:val="20"/>
    </w:rPr>
  </w:style>
  <w:style w:type="paragraph" w:styleId="Overskrift5">
    <w:name w:val="heading 5"/>
    <w:basedOn w:val="Normal"/>
    <w:next w:val="Normal"/>
    <w:qFormat/>
    <w:pPr>
      <w:keepNext/>
      <w:outlineLvl w:val="4"/>
    </w:pPr>
    <w:rPr>
      <w:b/>
      <w:bCs/>
      <w:snapToGrid w:val="0"/>
      <w:sz w:val="1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pPr>
      <w:tabs>
        <w:tab w:val="center" w:pos="4536"/>
        <w:tab w:val="right" w:pos="9072"/>
      </w:tabs>
    </w:pPr>
    <w:rPr>
      <w:sz w:val="16"/>
    </w:rPr>
  </w:style>
  <w:style w:type="paragraph" w:styleId="Bunntekst">
    <w:name w:val="footer"/>
    <w:basedOn w:val="Normal"/>
    <w:semiHidden/>
    <w:pPr>
      <w:tabs>
        <w:tab w:val="center" w:pos="4536"/>
        <w:tab w:val="right" w:pos="9072"/>
      </w:tabs>
    </w:pPr>
  </w:style>
  <w:style w:type="character" w:styleId="Sidetall">
    <w:name w:val="page number"/>
    <w:basedOn w:val="Standardskriftforavsnitt"/>
    <w:semiHidden/>
  </w:style>
  <w:style w:type="paragraph" w:customStyle="1" w:styleId="Sakstittel1">
    <w:name w:val="Sakstittel1"/>
    <w:basedOn w:val="Overskrift1"/>
  </w:style>
  <w:style w:type="paragraph" w:customStyle="1" w:styleId="Sakstittel2">
    <w:name w:val="Sakstittel2"/>
    <w:basedOn w:val="Overskrift2"/>
  </w:style>
  <w:style w:type="character" w:styleId="Hyperkobling">
    <w:name w:val="Hyperlink"/>
    <w:basedOn w:val="Standardskriftforavsnitt"/>
    <w:semiHidden/>
    <w:rPr>
      <w:color w:val="0000FF"/>
      <w:u w:val="single"/>
    </w:rPr>
  </w:style>
  <w:style w:type="paragraph" w:styleId="Bobletekst">
    <w:name w:val="Balloon Text"/>
    <w:basedOn w:val="Normal"/>
    <w:link w:val="BobletekstTegn"/>
    <w:uiPriority w:val="99"/>
    <w:semiHidden/>
    <w:unhideWhenUsed/>
    <w:rsid w:val="00315505"/>
    <w:rPr>
      <w:rFonts w:ascii="Tahoma" w:hAnsi="Tahoma" w:cs="Tahoma"/>
      <w:sz w:val="16"/>
      <w:szCs w:val="16"/>
    </w:rPr>
  </w:style>
  <w:style w:type="character" w:customStyle="1" w:styleId="BobletekstTegn">
    <w:name w:val="Bobletekst Tegn"/>
    <w:basedOn w:val="Standardskriftforavsnitt"/>
    <w:link w:val="Bobletekst"/>
    <w:uiPriority w:val="99"/>
    <w:semiHidden/>
    <w:rsid w:val="00315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12451055</Template>
  <TotalTime>20</TotalTime>
  <Pages>3</Pages>
  <Words>702</Words>
  <Characters>4455</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5147</CharactersWithSpaces>
  <SharedDoc>false</SharedDoc>
  <HLinks>
    <vt:vector size="6" baseType="variant">
      <vt:variant>
        <vt:i4>4259961</vt:i4>
      </vt:variant>
      <vt:variant>
        <vt:i4>1281</vt:i4>
      </vt:variant>
      <vt:variant>
        <vt:i4>1025</vt:i4>
      </vt:variant>
      <vt:variant>
        <vt:i4>1</vt:i4>
      </vt:variant>
      <vt:variant>
        <vt:lpwstr>A:\LOSHV.BMP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Jon Petter Arntzen</dc:creator>
  <cp:lastModifiedBy>Jon Petter Arntzen</cp:lastModifiedBy>
  <cp:revision>3</cp:revision>
  <cp:lastPrinted>2017-09-01T13:21:00Z</cp:lastPrinted>
  <dcterms:created xsi:type="dcterms:W3CDTF">2017-09-01T13:20:00Z</dcterms:created>
  <dcterms:modified xsi:type="dcterms:W3CDTF">2017-09-01T13:41:00Z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\\900-file-01\Ansatte\arjo0610\system\ephorte5\1611321_DOCX.XML</vt:lpwstr>
  </property>
  <property fmtid="{D5CDD505-2E9C-101B-9397-08002B2CF9AE}" pid="3" name="CheckInType">
    <vt:lpwstr>FromApplication</vt:lpwstr>
  </property>
  <property fmtid="{D5CDD505-2E9C-101B-9397-08002B2CF9AE}" pid="4" name="CheckInDocForm">
    <vt:lpwstr>https://ephorteweb.akershus-fk.no/ephorteweb/shared/aspx/Default/CheckInDocForm.aspx</vt:lpwstr>
  </property>
  <property fmtid="{D5CDD505-2E9C-101B-9397-08002B2CF9AE}" pid="5" name="DokType">
    <vt:lpwstr>U</vt:lpwstr>
  </property>
  <property fmtid="{D5CDD505-2E9C-101B-9397-08002B2CF9AE}" pid="6" name="DokID">
    <vt:i4>1446606</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https%3a%2f%2fephorteweb.akershus-fk.no%2fephorteweb%2fshared%2faspx%2fDefault%2fdetails.aspx%3ff%3dViewJP%26JP_ID%3d912877%26LoadDocHandling%3dtrue</vt:lpwstr>
  </property>
  <property fmtid="{D5CDD505-2E9C-101B-9397-08002B2CF9AE}" pid="11" name="WindowName">
    <vt:lpwstr>rbottom</vt:lpwstr>
  </property>
  <property fmtid="{D5CDD505-2E9C-101B-9397-08002B2CF9AE}" pid="12" name="FileName">
    <vt:lpwstr>%5c%5c900-file-01%5cAnsatte%5carjo0610%5csystem%5cephorte5%5c1611321.DOCX</vt:lpwstr>
  </property>
  <property fmtid="{D5CDD505-2E9C-101B-9397-08002B2CF9AE}" pid="13" name="LinkId">
    <vt:i4>912877</vt:i4>
  </property>
</Properties>
</file>