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18" w:rsidRDefault="004D0DAE" w:rsidP="004501C8">
      <w:pPr>
        <w:pStyle w:val="Overskrift1"/>
      </w:pPr>
      <w:bookmarkStart w:id="0" w:name="_GoBack"/>
      <w:bookmarkEnd w:id="0"/>
      <w:r>
        <w:t>Rapport fra Nordsjøkommisjonens ExCom 28. oktober</w:t>
      </w:r>
    </w:p>
    <w:p w:rsidR="004501C8" w:rsidRDefault="004501C8"/>
    <w:tbl>
      <w:tblPr>
        <w:tblStyle w:val="Tabellrutenett"/>
        <w:tblW w:w="0" w:type="auto"/>
        <w:tblLook w:val="04A0" w:firstRow="1" w:lastRow="0" w:firstColumn="1" w:lastColumn="0" w:noHBand="0" w:noVBand="1"/>
      </w:tblPr>
      <w:tblGrid>
        <w:gridCol w:w="9062"/>
      </w:tblGrid>
      <w:tr w:rsidR="005E0405" w:rsidTr="005E0405">
        <w:tc>
          <w:tcPr>
            <w:tcW w:w="9062" w:type="dxa"/>
            <w:shd w:val="clear" w:color="auto" w:fill="D9D9D9" w:themeFill="background1" w:themeFillShade="D9"/>
          </w:tcPr>
          <w:p w:rsidR="005E0405" w:rsidRDefault="004D0DAE" w:rsidP="005E0405">
            <w:pPr>
              <w:pStyle w:val="Overskrift2"/>
              <w:outlineLvl w:val="1"/>
            </w:pPr>
            <w:r>
              <w:t>Formaliteter</w:t>
            </w:r>
          </w:p>
        </w:tc>
      </w:tr>
      <w:tr w:rsidR="005E0405" w:rsidTr="005E0405">
        <w:tc>
          <w:tcPr>
            <w:tcW w:w="9062" w:type="dxa"/>
          </w:tcPr>
          <w:p w:rsidR="005E0405" w:rsidRPr="002375C6" w:rsidRDefault="005E0405" w:rsidP="005E0405">
            <w:pPr>
              <w:rPr>
                <w:b/>
                <w:i/>
                <w:sz w:val="22"/>
              </w:rPr>
            </w:pPr>
            <w:r w:rsidRPr="002375C6">
              <w:rPr>
                <w:b/>
                <w:i/>
                <w:sz w:val="22"/>
              </w:rPr>
              <w:t>Sak 1 Agenda</w:t>
            </w:r>
          </w:p>
          <w:p w:rsidR="002375C6" w:rsidRDefault="002375C6">
            <w:pPr>
              <w:rPr>
                <w:sz w:val="22"/>
              </w:rPr>
            </w:pPr>
          </w:p>
          <w:p w:rsidR="008D70BC" w:rsidRPr="008D70BC" w:rsidRDefault="008D70BC">
            <w:pPr>
              <w:rPr>
                <w:sz w:val="22"/>
                <w:u w:val="single"/>
              </w:rPr>
            </w:pPr>
            <w:r w:rsidRPr="008D70BC">
              <w:rPr>
                <w:sz w:val="22"/>
                <w:u w:val="single"/>
              </w:rPr>
              <w:t>Beslutning:</w:t>
            </w:r>
          </w:p>
          <w:p w:rsidR="00A73C9E" w:rsidRDefault="004D0DAE">
            <w:pPr>
              <w:rPr>
                <w:sz w:val="22"/>
              </w:rPr>
            </w:pPr>
            <w:r>
              <w:rPr>
                <w:sz w:val="22"/>
              </w:rPr>
              <w:t>Agendaen ble godkjent.</w:t>
            </w:r>
          </w:p>
          <w:p w:rsidR="00B23EF1" w:rsidRPr="004D0DAE" w:rsidRDefault="00B23EF1" w:rsidP="004D0DAE">
            <w:pPr>
              <w:rPr>
                <w:sz w:val="22"/>
              </w:rPr>
            </w:pPr>
          </w:p>
        </w:tc>
      </w:tr>
      <w:tr w:rsidR="005E0405" w:rsidTr="005E0405">
        <w:tc>
          <w:tcPr>
            <w:tcW w:w="9062" w:type="dxa"/>
          </w:tcPr>
          <w:p w:rsidR="005E0405" w:rsidRPr="002375C6" w:rsidRDefault="004D0DAE" w:rsidP="005E0405">
            <w:pPr>
              <w:rPr>
                <w:b/>
                <w:i/>
                <w:sz w:val="22"/>
              </w:rPr>
            </w:pPr>
            <w:r>
              <w:rPr>
                <w:b/>
                <w:i/>
                <w:sz w:val="22"/>
              </w:rPr>
              <w:t>Sak 2 Referat/protokoll</w:t>
            </w:r>
          </w:p>
          <w:p w:rsidR="002375C6" w:rsidRDefault="002375C6">
            <w:pPr>
              <w:rPr>
                <w:sz w:val="22"/>
              </w:rPr>
            </w:pPr>
          </w:p>
          <w:p w:rsidR="008D70BC" w:rsidRPr="008D70BC" w:rsidRDefault="008D70BC">
            <w:pPr>
              <w:rPr>
                <w:sz w:val="22"/>
                <w:u w:val="single"/>
              </w:rPr>
            </w:pPr>
            <w:r w:rsidRPr="008D70BC">
              <w:rPr>
                <w:sz w:val="22"/>
                <w:u w:val="single"/>
              </w:rPr>
              <w:t>Beslutning:</w:t>
            </w:r>
          </w:p>
          <w:p w:rsidR="00B23EF1" w:rsidRPr="004D0DAE" w:rsidRDefault="004D0DAE" w:rsidP="004D0DAE">
            <w:pPr>
              <w:rPr>
                <w:sz w:val="22"/>
              </w:rPr>
            </w:pPr>
            <w:r>
              <w:rPr>
                <w:sz w:val="22"/>
              </w:rPr>
              <w:t>Referat/protokoll fra det 68. ExCom møtet, 18.</w:t>
            </w:r>
            <w:r w:rsidR="00B23EF1" w:rsidRPr="004D0DAE">
              <w:rPr>
                <w:sz w:val="22"/>
              </w:rPr>
              <w:t xml:space="preserve"> </w:t>
            </w:r>
            <w:r>
              <w:rPr>
                <w:sz w:val="22"/>
              </w:rPr>
              <w:t>Juni</w:t>
            </w:r>
            <w:r w:rsidR="00B23EF1" w:rsidRPr="004D0DAE">
              <w:rPr>
                <w:sz w:val="22"/>
              </w:rPr>
              <w:t xml:space="preserve"> 2015, Assen</w:t>
            </w:r>
            <w:r>
              <w:rPr>
                <w:sz w:val="22"/>
              </w:rPr>
              <w:t>, ble godkjent.</w:t>
            </w:r>
          </w:p>
          <w:p w:rsidR="00B23EF1" w:rsidRPr="00B23EF1" w:rsidRDefault="00B23EF1" w:rsidP="00B23EF1">
            <w:pPr>
              <w:pStyle w:val="Listeavsnitt"/>
              <w:rPr>
                <w:sz w:val="22"/>
              </w:rPr>
            </w:pPr>
          </w:p>
        </w:tc>
      </w:tr>
      <w:tr w:rsidR="005E0405" w:rsidTr="005E0405">
        <w:tc>
          <w:tcPr>
            <w:tcW w:w="9062" w:type="dxa"/>
          </w:tcPr>
          <w:p w:rsidR="005E0405" w:rsidRDefault="005E0405" w:rsidP="005E0405">
            <w:pPr>
              <w:rPr>
                <w:b/>
                <w:i/>
                <w:sz w:val="22"/>
              </w:rPr>
            </w:pPr>
            <w:r w:rsidRPr="002375C6">
              <w:rPr>
                <w:b/>
                <w:i/>
                <w:sz w:val="22"/>
              </w:rPr>
              <w:t>Sak 3 Apologies</w:t>
            </w:r>
            <w:r w:rsidR="00B23EF1">
              <w:rPr>
                <w:b/>
                <w:i/>
                <w:sz w:val="22"/>
              </w:rPr>
              <w:t xml:space="preserve"> for absence</w:t>
            </w:r>
          </w:p>
          <w:p w:rsidR="00A73C9E" w:rsidRDefault="00A73C9E" w:rsidP="005E0405">
            <w:pPr>
              <w:rPr>
                <w:b/>
                <w:i/>
                <w:sz w:val="22"/>
              </w:rPr>
            </w:pPr>
          </w:p>
          <w:p w:rsidR="00A73C9E" w:rsidRPr="00A73C9E" w:rsidRDefault="004D0DAE" w:rsidP="004D0DAE">
            <w:pPr>
              <w:rPr>
                <w:sz w:val="22"/>
              </w:rPr>
            </w:pPr>
            <w:r>
              <w:rPr>
                <w:sz w:val="22"/>
              </w:rPr>
              <w:t>Ingen.</w:t>
            </w:r>
          </w:p>
          <w:p w:rsidR="005E0405" w:rsidRPr="002375C6" w:rsidRDefault="005E0405">
            <w:pPr>
              <w:rPr>
                <w:sz w:val="22"/>
              </w:rPr>
            </w:pPr>
          </w:p>
        </w:tc>
      </w:tr>
      <w:tr w:rsidR="005E0405" w:rsidTr="005E0405">
        <w:tc>
          <w:tcPr>
            <w:tcW w:w="9062" w:type="dxa"/>
            <w:shd w:val="clear" w:color="auto" w:fill="D9D9D9" w:themeFill="background1" w:themeFillShade="D9"/>
          </w:tcPr>
          <w:p w:rsidR="005E0405" w:rsidRDefault="004D0DAE" w:rsidP="005E0405">
            <w:pPr>
              <w:pStyle w:val="Overskrift2"/>
              <w:outlineLvl w:val="1"/>
            </w:pPr>
            <w:r>
              <w:t>Rapporter</w:t>
            </w:r>
          </w:p>
        </w:tc>
      </w:tr>
      <w:tr w:rsidR="005E0405" w:rsidTr="005E0405">
        <w:tc>
          <w:tcPr>
            <w:tcW w:w="9062" w:type="dxa"/>
          </w:tcPr>
          <w:p w:rsidR="005E0405" w:rsidRPr="002375C6" w:rsidRDefault="004D0DAE" w:rsidP="005E0405">
            <w:pPr>
              <w:rPr>
                <w:b/>
                <w:i/>
                <w:sz w:val="22"/>
              </w:rPr>
            </w:pPr>
            <w:r>
              <w:rPr>
                <w:b/>
                <w:i/>
                <w:sz w:val="22"/>
              </w:rPr>
              <w:t>Sak 4 Rapport fra</w:t>
            </w:r>
            <w:r w:rsidR="00616B56">
              <w:rPr>
                <w:b/>
                <w:i/>
                <w:sz w:val="22"/>
              </w:rPr>
              <w:t xml:space="preserve"> </w:t>
            </w:r>
            <w:r>
              <w:rPr>
                <w:b/>
                <w:i/>
                <w:sz w:val="22"/>
              </w:rPr>
              <w:t>interreg VB Nordsjøprogrammet</w:t>
            </w:r>
          </w:p>
          <w:p w:rsidR="002375C6" w:rsidRDefault="002375C6">
            <w:pPr>
              <w:rPr>
                <w:sz w:val="22"/>
              </w:rPr>
            </w:pPr>
          </w:p>
          <w:p w:rsidR="004D0DAE" w:rsidRDefault="004D0DAE">
            <w:pPr>
              <w:rPr>
                <w:sz w:val="22"/>
              </w:rPr>
            </w:pPr>
            <w:r>
              <w:rPr>
                <w:sz w:val="22"/>
              </w:rPr>
              <w:t>Informasjon fra sekretariatslederen:</w:t>
            </w:r>
          </w:p>
          <w:p w:rsidR="00660BE4" w:rsidRDefault="00660BE4">
            <w:pPr>
              <w:rPr>
                <w:sz w:val="22"/>
              </w:rPr>
            </w:pPr>
            <w:r>
              <w:rPr>
                <w:sz w:val="22"/>
              </w:rPr>
              <w:t xml:space="preserve">Programmet godkjent i august 2015. </w:t>
            </w:r>
            <w:r w:rsidR="004D0DAE">
              <w:rPr>
                <w:sz w:val="22"/>
              </w:rPr>
              <w:t>Den f</w:t>
            </w:r>
            <w:r>
              <w:rPr>
                <w:sz w:val="22"/>
              </w:rPr>
              <w:t>ørste utlysning ble gjort før programmet ble godkjent.</w:t>
            </w:r>
          </w:p>
          <w:p w:rsidR="00660BE4" w:rsidRDefault="00660BE4" w:rsidP="00EE4CAC">
            <w:pPr>
              <w:rPr>
                <w:sz w:val="22"/>
              </w:rPr>
            </w:pPr>
            <w:r>
              <w:rPr>
                <w:sz w:val="22"/>
              </w:rPr>
              <w:t xml:space="preserve">78 søknader </w:t>
            </w:r>
            <w:r w:rsidR="004D0DAE">
              <w:rPr>
                <w:sz w:val="22"/>
              </w:rPr>
              <w:t>kom inn i</w:t>
            </w:r>
            <w:r>
              <w:rPr>
                <w:sz w:val="22"/>
              </w:rPr>
              <w:t xml:space="preserve"> første utlysning.</w:t>
            </w:r>
            <w:r w:rsidR="004D0DAE">
              <w:rPr>
                <w:sz w:val="22"/>
              </w:rPr>
              <w:t xml:space="preserve"> </w:t>
            </w:r>
            <w:r>
              <w:rPr>
                <w:sz w:val="22"/>
              </w:rPr>
              <w:t>To typer søknader</w:t>
            </w:r>
            <w:r w:rsidR="004D0DAE">
              <w:rPr>
                <w:sz w:val="22"/>
              </w:rPr>
              <w:t xml:space="preserve"> i denne runden</w:t>
            </w:r>
            <w:r>
              <w:rPr>
                <w:sz w:val="22"/>
              </w:rPr>
              <w:t>; 28 ordinære prosjektsøknader og 50 expression of intererst (forprosjekt)</w:t>
            </w:r>
          </w:p>
          <w:p w:rsidR="00EE4CAC" w:rsidRDefault="004D0DAE" w:rsidP="00EE4CAC">
            <w:pPr>
              <w:rPr>
                <w:sz w:val="22"/>
              </w:rPr>
            </w:pPr>
            <w:r>
              <w:rPr>
                <w:sz w:val="22"/>
              </w:rPr>
              <w:t xml:space="preserve">Ca </w:t>
            </w:r>
            <w:r w:rsidR="00EE4CAC">
              <w:rPr>
                <w:sz w:val="22"/>
              </w:rPr>
              <w:t>50% av søknadene foreslås godkjent av sekretariatet.</w:t>
            </w:r>
          </w:p>
          <w:p w:rsidR="00EE4CAC" w:rsidRDefault="00EE4CAC" w:rsidP="004D0DAE">
            <w:pPr>
              <w:tabs>
                <w:tab w:val="left" w:pos="4740"/>
              </w:tabs>
              <w:rPr>
                <w:sz w:val="22"/>
              </w:rPr>
            </w:pPr>
            <w:r>
              <w:rPr>
                <w:sz w:val="22"/>
              </w:rPr>
              <w:t>S</w:t>
            </w:r>
            <w:r w:rsidR="004D0DAE">
              <w:rPr>
                <w:sz w:val="22"/>
              </w:rPr>
              <w:t xml:space="preserve">tyringskomiteen skal ha møte </w:t>
            </w:r>
            <w:r>
              <w:rPr>
                <w:sz w:val="22"/>
              </w:rPr>
              <w:t>9-10 november</w:t>
            </w:r>
            <w:r w:rsidR="004D0DAE">
              <w:rPr>
                <w:sz w:val="22"/>
              </w:rPr>
              <w:tab/>
              <w:t>.</w:t>
            </w:r>
          </w:p>
          <w:p w:rsidR="00EE4CAC" w:rsidRDefault="00EE4CAC" w:rsidP="00EE4CAC">
            <w:pPr>
              <w:rPr>
                <w:sz w:val="22"/>
              </w:rPr>
            </w:pPr>
            <w:r>
              <w:rPr>
                <w:sz w:val="22"/>
              </w:rPr>
              <w:t>Interwork event 9-10 desember, Amsterdam.</w:t>
            </w:r>
          </w:p>
          <w:p w:rsidR="00EE4CAC" w:rsidRDefault="00EE4CAC" w:rsidP="00EE4CAC">
            <w:pPr>
              <w:rPr>
                <w:sz w:val="22"/>
              </w:rPr>
            </w:pPr>
            <w:r>
              <w:rPr>
                <w:sz w:val="22"/>
              </w:rPr>
              <w:t xml:space="preserve">Call 2 </w:t>
            </w:r>
            <w:r w:rsidR="004D0DAE">
              <w:rPr>
                <w:sz w:val="22"/>
              </w:rPr>
              <w:t xml:space="preserve">åpner </w:t>
            </w:r>
            <w:r>
              <w:rPr>
                <w:sz w:val="22"/>
              </w:rPr>
              <w:t>15/1 og stenger 14/3.</w:t>
            </w:r>
          </w:p>
          <w:p w:rsidR="004D0DAE" w:rsidRDefault="004D0DAE" w:rsidP="00EE4CAC">
            <w:pPr>
              <w:rPr>
                <w:sz w:val="22"/>
              </w:rPr>
            </w:pPr>
          </w:p>
          <w:p w:rsidR="008D70BC" w:rsidRPr="008D70BC" w:rsidRDefault="008D70BC" w:rsidP="00EE4CAC">
            <w:pPr>
              <w:rPr>
                <w:sz w:val="22"/>
                <w:u w:val="single"/>
              </w:rPr>
            </w:pPr>
            <w:r w:rsidRPr="008D70BC">
              <w:rPr>
                <w:sz w:val="22"/>
                <w:u w:val="single"/>
              </w:rPr>
              <w:t>Beslutning:</w:t>
            </w:r>
          </w:p>
          <w:p w:rsidR="00EE4CAC" w:rsidRDefault="004D0DAE" w:rsidP="00EE4CAC">
            <w:pPr>
              <w:rPr>
                <w:sz w:val="22"/>
              </w:rPr>
            </w:pPr>
            <w:r>
              <w:rPr>
                <w:sz w:val="22"/>
              </w:rPr>
              <w:t>Informasjonen ble tatt til orientering.</w:t>
            </w:r>
          </w:p>
          <w:p w:rsidR="00EE4CAC" w:rsidRPr="002375C6" w:rsidRDefault="00EE4CAC" w:rsidP="00EE4CAC">
            <w:pPr>
              <w:rPr>
                <w:sz w:val="22"/>
              </w:rPr>
            </w:pPr>
          </w:p>
        </w:tc>
      </w:tr>
      <w:tr w:rsidR="005E0405" w:rsidTr="005E0405">
        <w:tc>
          <w:tcPr>
            <w:tcW w:w="9062" w:type="dxa"/>
          </w:tcPr>
          <w:p w:rsidR="005E0405" w:rsidRPr="002375C6" w:rsidRDefault="00B924E6" w:rsidP="005E0405">
            <w:pPr>
              <w:rPr>
                <w:b/>
                <w:i/>
                <w:sz w:val="22"/>
              </w:rPr>
            </w:pPr>
            <w:r>
              <w:rPr>
                <w:b/>
                <w:i/>
                <w:sz w:val="22"/>
              </w:rPr>
              <w:t>Sak 5 De tematiske gruppenes aktivitetesrapporter og arbeidsplaner</w:t>
            </w:r>
          </w:p>
          <w:p w:rsidR="002375C6" w:rsidRDefault="002375C6" w:rsidP="005E0405">
            <w:pPr>
              <w:rPr>
                <w:sz w:val="22"/>
              </w:rPr>
            </w:pPr>
          </w:p>
          <w:p w:rsidR="00A73C9E" w:rsidRDefault="00B924E6" w:rsidP="005E0405">
            <w:pPr>
              <w:rPr>
                <w:sz w:val="22"/>
              </w:rPr>
            </w:pPr>
            <w:r>
              <w:rPr>
                <w:sz w:val="22"/>
              </w:rPr>
              <w:t>Alle gruppene hadde laget fyldige rapporter som lå i saksdokumentene. De tematiske gruppene ga under møtet orienteringer som sitt arbeid.</w:t>
            </w:r>
          </w:p>
          <w:p w:rsidR="00B924E6" w:rsidRDefault="00B924E6" w:rsidP="005E0405">
            <w:pPr>
              <w:rPr>
                <w:sz w:val="22"/>
              </w:rPr>
            </w:pPr>
          </w:p>
          <w:p w:rsidR="008D70BC" w:rsidRPr="008D70BC" w:rsidRDefault="008D70BC" w:rsidP="005E0405">
            <w:pPr>
              <w:rPr>
                <w:sz w:val="22"/>
                <w:u w:val="single"/>
              </w:rPr>
            </w:pPr>
            <w:r w:rsidRPr="008D70BC">
              <w:rPr>
                <w:sz w:val="22"/>
                <w:u w:val="single"/>
              </w:rPr>
              <w:t>Beslutning:</w:t>
            </w:r>
          </w:p>
          <w:p w:rsidR="00B924E6" w:rsidRDefault="00B924E6" w:rsidP="005E0405">
            <w:pPr>
              <w:rPr>
                <w:sz w:val="22"/>
              </w:rPr>
            </w:pPr>
            <w:r>
              <w:rPr>
                <w:sz w:val="22"/>
              </w:rPr>
              <w:t>Informasjonen ble tatt til orientering.</w:t>
            </w:r>
          </w:p>
          <w:p w:rsidR="00EF5FD0" w:rsidRPr="002375C6" w:rsidRDefault="00EF5FD0" w:rsidP="00B924E6">
            <w:pPr>
              <w:rPr>
                <w:sz w:val="22"/>
              </w:rPr>
            </w:pPr>
          </w:p>
        </w:tc>
      </w:tr>
      <w:tr w:rsidR="005E0405" w:rsidTr="005E0405">
        <w:tc>
          <w:tcPr>
            <w:tcW w:w="9062" w:type="dxa"/>
          </w:tcPr>
          <w:p w:rsidR="005E0405" w:rsidRPr="002375C6" w:rsidRDefault="00B924E6" w:rsidP="005E0405">
            <w:pPr>
              <w:rPr>
                <w:b/>
                <w:i/>
                <w:sz w:val="22"/>
              </w:rPr>
            </w:pPr>
            <w:r>
              <w:rPr>
                <w:b/>
                <w:i/>
                <w:sz w:val="22"/>
              </w:rPr>
              <w:t>Sak 6 Rapporter fra nasjonale representanter</w:t>
            </w:r>
            <w:r w:rsidR="005E0405" w:rsidRPr="002375C6">
              <w:rPr>
                <w:b/>
                <w:i/>
                <w:sz w:val="22"/>
              </w:rPr>
              <w:t xml:space="preserve"> </w:t>
            </w:r>
          </w:p>
          <w:p w:rsidR="002375C6" w:rsidRDefault="002375C6" w:rsidP="005E0405">
            <w:pPr>
              <w:rPr>
                <w:sz w:val="22"/>
              </w:rPr>
            </w:pPr>
          </w:p>
          <w:p w:rsidR="00501906" w:rsidRPr="00B924E6" w:rsidRDefault="00B924E6" w:rsidP="005E0405">
            <w:pPr>
              <w:rPr>
                <w:sz w:val="22"/>
              </w:rPr>
            </w:pPr>
            <w:r>
              <w:rPr>
                <w:sz w:val="22"/>
              </w:rPr>
              <w:t>Styremedlemmene orienterte om aktuelle saker fra sine land.</w:t>
            </w:r>
          </w:p>
          <w:p w:rsidR="00A61450" w:rsidRDefault="00A61450" w:rsidP="00A61450">
            <w:pPr>
              <w:rPr>
                <w:sz w:val="22"/>
                <w:u w:val="single"/>
              </w:rPr>
            </w:pPr>
          </w:p>
          <w:p w:rsidR="008D70BC" w:rsidRDefault="008D70BC" w:rsidP="00A61450">
            <w:pPr>
              <w:rPr>
                <w:sz w:val="22"/>
                <w:u w:val="single"/>
              </w:rPr>
            </w:pPr>
            <w:r>
              <w:rPr>
                <w:sz w:val="22"/>
                <w:u w:val="single"/>
              </w:rPr>
              <w:t>Beslutning:</w:t>
            </w:r>
          </w:p>
          <w:p w:rsidR="00B924E6" w:rsidRPr="00B924E6" w:rsidRDefault="00B924E6" w:rsidP="00A61450">
            <w:pPr>
              <w:rPr>
                <w:sz w:val="22"/>
              </w:rPr>
            </w:pPr>
            <w:r w:rsidRPr="00B924E6">
              <w:rPr>
                <w:sz w:val="22"/>
              </w:rPr>
              <w:t>Informasjonen ble tatt til orientering.</w:t>
            </w:r>
          </w:p>
          <w:p w:rsidR="009650CE" w:rsidRPr="009650CE" w:rsidRDefault="009650CE" w:rsidP="00B924E6">
            <w:pPr>
              <w:rPr>
                <w:sz w:val="22"/>
              </w:rPr>
            </w:pPr>
          </w:p>
        </w:tc>
      </w:tr>
      <w:tr w:rsidR="005E0405" w:rsidTr="005E0405">
        <w:tc>
          <w:tcPr>
            <w:tcW w:w="9062" w:type="dxa"/>
          </w:tcPr>
          <w:p w:rsidR="005E0405" w:rsidRPr="002375C6" w:rsidRDefault="00A8489F" w:rsidP="005E0405">
            <w:pPr>
              <w:rPr>
                <w:b/>
                <w:i/>
                <w:sz w:val="22"/>
              </w:rPr>
            </w:pPr>
            <w:r>
              <w:rPr>
                <w:b/>
                <w:i/>
                <w:sz w:val="22"/>
              </w:rPr>
              <w:t>Sak 7 Aktivitetsrapport fra NSC sekretariatet</w:t>
            </w:r>
          </w:p>
          <w:p w:rsidR="005E0405" w:rsidRDefault="005E0405" w:rsidP="005E0405">
            <w:pPr>
              <w:rPr>
                <w:sz w:val="22"/>
              </w:rPr>
            </w:pPr>
          </w:p>
          <w:p w:rsidR="00A8489F" w:rsidRDefault="00A8489F" w:rsidP="005E0405">
            <w:pPr>
              <w:rPr>
                <w:sz w:val="22"/>
              </w:rPr>
            </w:pPr>
            <w:r>
              <w:rPr>
                <w:sz w:val="22"/>
              </w:rPr>
              <w:lastRenderedPageBreak/>
              <w:t xml:space="preserve">En fyldig rapport om presidentens, presidentskapets og sekretariatets arbeid lå i sakspapirene. Rapporten ble gjennomgått i møtet. </w:t>
            </w:r>
          </w:p>
          <w:p w:rsidR="00A8489F" w:rsidRDefault="00A8489F" w:rsidP="005E0405">
            <w:pPr>
              <w:rPr>
                <w:sz w:val="22"/>
              </w:rPr>
            </w:pPr>
          </w:p>
          <w:p w:rsidR="008D70BC" w:rsidRPr="008D70BC" w:rsidRDefault="008D70BC" w:rsidP="005E0405">
            <w:pPr>
              <w:rPr>
                <w:sz w:val="22"/>
                <w:u w:val="single"/>
              </w:rPr>
            </w:pPr>
            <w:r w:rsidRPr="008D70BC">
              <w:rPr>
                <w:sz w:val="22"/>
                <w:u w:val="single"/>
              </w:rPr>
              <w:t>Beslutning:</w:t>
            </w:r>
          </w:p>
          <w:p w:rsidR="00A8489F" w:rsidRDefault="00A8489F" w:rsidP="005E0405">
            <w:pPr>
              <w:rPr>
                <w:sz w:val="22"/>
              </w:rPr>
            </w:pPr>
            <w:r>
              <w:rPr>
                <w:sz w:val="22"/>
              </w:rPr>
              <w:t>Informasjonen ble tatt til orientering.</w:t>
            </w:r>
          </w:p>
          <w:p w:rsidR="001A23EC" w:rsidRPr="001A23EC" w:rsidRDefault="001A23EC" w:rsidP="00963926">
            <w:pPr>
              <w:rPr>
                <w:sz w:val="22"/>
              </w:rPr>
            </w:pPr>
          </w:p>
        </w:tc>
      </w:tr>
      <w:tr w:rsidR="005E0405" w:rsidTr="005E0405">
        <w:tc>
          <w:tcPr>
            <w:tcW w:w="9062" w:type="dxa"/>
          </w:tcPr>
          <w:p w:rsidR="005E0405" w:rsidRPr="002375C6" w:rsidRDefault="00963926" w:rsidP="005E0405">
            <w:pPr>
              <w:rPr>
                <w:b/>
                <w:i/>
                <w:sz w:val="22"/>
              </w:rPr>
            </w:pPr>
            <w:r>
              <w:rPr>
                <w:b/>
                <w:i/>
                <w:sz w:val="22"/>
              </w:rPr>
              <w:lastRenderedPageBreak/>
              <w:t xml:space="preserve">Sak 8 Oppdatering fra CPMR </w:t>
            </w:r>
          </w:p>
          <w:p w:rsidR="005E0405" w:rsidRDefault="005E0405" w:rsidP="005E0405">
            <w:pPr>
              <w:rPr>
                <w:sz w:val="22"/>
              </w:rPr>
            </w:pPr>
          </w:p>
          <w:p w:rsidR="00C36080" w:rsidRDefault="00963926" w:rsidP="005E0405">
            <w:pPr>
              <w:rPr>
                <w:sz w:val="22"/>
              </w:rPr>
            </w:pPr>
            <w:r>
              <w:rPr>
                <w:sz w:val="22"/>
              </w:rPr>
              <w:t>Saksdokumentene til generalforsamlingen i Firenze 5. – 6. november ble sendt</w:t>
            </w:r>
            <w:r w:rsidR="006D3BAF">
              <w:rPr>
                <w:sz w:val="22"/>
              </w:rPr>
              <w:t xml:space="preserve"> ut 22/10.</w:t>
            </w:r>
          </w:p>
          <w:p w:rsidR="00963926" w:rsidRDefault="00963926" w:rsidP="00963926">
            <w:pPr>
              <w:rPr>
                <w:sz w:val="22"/>
              </w:rPr>
            </w:pPr>
            <w:r>
              <w:rPr>
                <w:sz w:val="22"/>
              </w:rPr>
              <w:t xml:space="preserve">Det var utkastet til slutterklæring fra generalforsamlingen som var hovedpunktet i orienteringen. Hensikten med erklæringen er å sette sammen en sterk erklæring med tydelige meldinger fra de geografiske kommisjonene basert på omforent politikk. Både individuelle medlemmer og kommisjonene kan sende innspill til slutterklæringen. Deadline er 5. november på formiddagen. </w:t>
            </w:r>
          </w:p>
          <w:p w:rsidR="00963926" w:rsidRDefault="00963926" w:rsidP="005E0405">
            <w:pPr>
              <w:rPr>
                <w:sz w:val="22"/>
              </w:rPr>
            </w:pPr>
          </w:p>
          <w:p w:rsidR="00963926" w:rsidRDefault="00963926" w:rsidP="005E0405">
            <w:pPr>
              <w:rPr>
                <w:sz w:val="22"/>
              </w:rPr>
            </w:pPr>
            <w:r>
              <w:rPr>
                <w:sz w:val="22"/>
              </w:rPr>
              <w:t>Det ble kommentert at erklæringen ikke inneholder noe om EUs makro strategier, noe NSC jobber med for tiden.</w:t>
            </w:r>
          </w:p>
          <w:p w:rsidR="00963926" w:rsidRDefault="00963926" w:rsidP="005E0405">
            <w:pPr>
              <w:rPr>
                <w:sz w:val="22"/>
              </w:rPr>
            </w:pPr>
          </w:p>
          <w:p w:rsidR="008D70BC" w:rsidRPr="008D70BC" w:rsidRDefault="008D70BC" w:rsidP="005E0405">
            <w:pPr>
              <w:rPr>
                <w:sz w:val="22"/>
                <w:u w:val="single"/>
              </w:rPr>
            </w:pPr>
            <w:r w:rsidRPr="008D70BC">
              <w:rPr>
                <w:sz w:val="22"/>
                <w:u w:val="single"/>
              </w:rPr>
              <w:t>Beslutning:</w:t>
            </w:r>
          </w:p>
          <w:p w:rsidR="00963926" w:rsidRDefault="00963926" w:rsidP="005E0405">
            <w:pPr>
              <w:rPr>
                <w:sz w:val="22"/>
              </w:rPr>
            </w:pPr>
            <w:r>
              <w:rPr>
                <w:sz w:val="22"/>
              </w:rPr>
              <w:t>Informasjonen ble tatt til orientering.</w:t>
            </w:r>
          </w:p>
          <w:p w:rsidR="000777BD" w:rsidRPr="002375C6" w:rsidRDefault="000777BD" w:rsidP="005E0405">
            <w:pPr>
              <w:rPr>
                <w:sz w:val="22"/>
              </w:rPr>
            </w:pPr>
          </w:p>
        </w:tc>
      </w:tr>
      <w:tr w:rsidR="005E0405" w:rsidTr="005E0405">
        <w:tc>
          <w:tcPr>
            <w:tcW w:w="9062" w:type="dxa"/>
            <w:shd w:val="clear" w:color="auto" w:fill="D9D9D9" w:themeFill="background1" w:themeFillShade="D9"/>
          </w:tcPr>
          <w:p w:rsidR="005E0405" w:rsidRDefault="00963926" w:rsidP="005E0405">
            <w:pPr>
              <w:pStyle w:val="Overskrift2"/>
              <w:outlineLvl w:val="1"/>
            </w:pPr>
            <w:r>
              <w:t>Strategiske saker</w:t>
            </w:r>
          </w:p>
        </w:tc>
      </w:tr>
      <w:tr w:rsidR="005E0405" w:rsidTr="005E0405">
        <w:tc>
          <w:tcPr>
            <w:tcW w:w="9062" w:type="dxa"/>
          </w:tcPr>
          <w:p w:rsidR="005E0405" w:rsidRDefault="00963926" w:rsidP="005E0405">
            <w:pPr>
              <w:rPr>
                <w:b/>
                <w:i/>
                <w:sz w:val="22"/>
              </w:rPr>
            </w:pPr>
            <w:r>
              <w:rPr>
                <w:b/>
                <w:i/>
                <w:sz w:val="22"/>
              </w:rPr>
              <w:t>Sak 9 CPMR Firenze Generalforsamling slutterklæring</w:t>
            </w:r>
          </w:p>
          <w:p w:rsidR="00CD2877" w:rsidRDefault="00CD2877" w:rsidP="005E0405">
            <w:pPr>
              <w:rPr>
                <w:sz w:val="22"/>
              </w:rPr>
            </w:pPr>
          </w:p>
          <w:p w:rsidR="009F0FB3" w:rsidRDefault="00963926" w:rsidP="005E0405">
            <w:pPr>
              <w:rPr>
                <w:sz w:val="22"/>
              </w:rPr>
            </w:pPr>
            <w:r>
              <w:rPr>
                <w:sz w:val="22"/>
              </w:rPr>
              <w:t xml:space="preserve">Det ble en kort diskusjon rundt slutterklæringen. </w:t>
            </w:r>
          </w:p>
          <w:p w:rsidR="008D048A" w:rsidRDefault="008D048A" w:rsidP="005E0405">
            <w:pPr>
              <w:rPr>
                <w:sz w:val="22"/>
              </w:rPr>
            </w:pPr>
          </w:p>
          <w:p w:rsidR="00963926" w:rsidRDefault="00963926" w:rsidP="005E0405">
            <w:pPr>
              <w:rPr>
                <w:sz w:val="22"/>
              </w:rPr>
            </w:pPr>
            <w:r>
              <w:rPr>
                <w:sz w:val="22"/>
              </w:rPr>
              <w:t>Slutterklæringen vil bli diskutert på Nordsjøkommisjonens møte i Firenze 5. november kl. 10-11.</w:t>
            </w:r>
          </w:p>
          <w:p w:rsidR="00963926" w:rsidRPr="00470A30" w:rsidRDefault="00963926" w:rsidP="00963926">
            <w:pPr>
              <w:rPr>
                <w:sz w:val="22"/>
              </w:rPr>
            </w:pPr>
          </w:p>
        </w:tc>
      </w:tr>
      <w:tr w:rsidR="005E0405" w:rsidTr="005E0405">
        <w:tc>
          <w:tcPr>
            <w:tcW w:w="9062" w:type="dxa"/>
          </w:tcPr>
          <w:p w:rsidR="005E0405" w:rsidRPr="002375C6" w:rsidRDefault="00CB7CEE" w:rsidP="005E0405">
            <w:pPr>
              <w:rPr>
                <w:b/>
                <w:i/>
                <w:sz w:val="22"/>
              </w:rPr>
            </w:pPr>
            <w:r>
              <w:rPr>
                <w:b/>
                <w:i/>
                <w:sz w:val="22"/>
              </w:rPr>
              <w:t>Sak 10 NSC posisjon på migrasjon</w:t>
            </w:r>
          </w:p>
          <w:p w:rsidR="00470A30" w:rsidRDefault="00470A30" w:rsidP="005E0405">
            <w:pPr>
              <w:rPr>
                <w:sz w:val="22"/>
              </w:rPr>
            </w:pPr>
          </w:p>
          <w:p w:rsidR="00CB7CEE" w:rsidRDefault="002B1B83" w:rsidP="00CB7CEE">
            <w:pPr>
              <w:rPr>
                <w:sz w:val="22"/>
              </w:rPr>
            </w:pPr>
            <w:r>
              <w:rPr>
                <w:sz w:val="22"/>
              </w:rPr>
              <w:t>Alle var enige om at dette er et viktig tema, men for de fleste medlemmene blir migrasjon/flyktningekrisen håndtert på et statlig og lokalt nivå og ikke på et regionalt nivå.</w:t>
            </w:r>
            <w:r w:rsidR="008D048A">
              <w:rPr>
                <w:sz w:val="22"/>
              </w:rPr>
              <w:t xml:space="preserve"> Man ble enige om å det derfor ikke var riktig at NSC jobber videre med dette temaet.</w:t>
            </w:r>
          </w:p>
          <w:p w:rsidR="00CB7CEE" w:rsidRDefault="00CB7CEE" w:rsidP="005E0405">
            <w:pPr>
              <w:rPr>
                <w:sz w:val="22"/>
              </w:rPr>
            </w:pPr>
          </w:p>
          <w:p w:rsidR="008D70BC" w:rsidRPr="008D70BC" w:rsidRDefault="008D70BC" w:rsidP="005E0405">
            <w:pPr>
              <w:rPr>
                <w:sz w:val="22"/>
                <w:u w:val="single"/>
              </w:rPr>
            </w:pPr>
            <w:r w:rsidRPr="008D70BC">
              <w:rPr>
                <w:sz w:val="22"/>
                <w:u w:val="single"/>
              </w:rPr>
              <w:t>Beslutning:</w:t>
            </w:r>
          </w:p>
          <w:p w:rsidR="00123202" w:rsidRPr="00CB7CEE" w:rsidRDefault="00CB7CEE" w:rsidP="00123202">
            <w:pPr>
              <w:rPr>
                <w:sz w:val="22"/>
              </w:rPr>
            </w:pPr>
            <w:r w:rsidRPr="00CB7CEE">
              <w:rPr>
                <w:sz w:val="22"/>
              </w:rPr>
              <w:t>ExCom besluttet å ikke jobbe spesielt med dette temaet men følge med på det arbeidet som CPMR gjør.</w:t>
            </w:r>
          </w:p>
          <w:p w:rsidR="00AC1949" w:rsidRPr="00AC1949" w:rsidRDefault="00AC1949" w:rsidP="002B1B83">
            <w:pPr>
              <w:rPr>
                <w:sz w:val="22"/>
              </w:rPr>
            </w:pPr>
          </w:p>
        </w:tc>
      </w:tr>
      <w:tr w:rsidR="005E0405" w:rsidTr="005E0405">
        <w:tc>
          <w:tcPr>
            <w:tcW w:w="9062" w:type="dxa"/>
          </w:tcPr>
          <w:p w:rsidR="005E0405" w:rsidRPr="002375C6" w:rsidRDefault="008C547D" w:rsidP="00FD4C54">
            <w:pPr>
              <w:rPr>
                <w:b/>
                <w:i/>
                <w:sz w:val="22"/>
              </w:rPr>
            </w:pPr>
            <w:r>
              <w:rPr>
                <w:b/>
                <w:i/>
                <w:sz w:val="22"/>
              </w:rPr>
              <w:t>Sak 11 Nordsjøstrategien 2020 – revisjonsprosessen</w:t>
            </w:r>
          </w:p>
          <w:p w:rsidR="001534CA" w:rsidRDefault="001534CA" w:rsidP="005E0405">
            <w:pPr>
              <w:rPr>
                <w:sz w:val="22"/>
              </w:rPr>
            </w:pPr>
          </w:p>
          <w:p w:rsidR="009F05EF" w:rsidRPr="009F05EF" w:rsidRDefault="009F05EF" w:rsidP="005E0405">
            <w:pPr>
              <w:rPr>
                <w:sz w:val="22"/>
                <w:u w:val="single"/>
              </w:rPr>
            </w:pPr>
            <w:r w:rsidRPr="009F05EF">
              <w:rPr>
                <w:sz w:val="22"/>
                <w:u w:val="single"/>
              </w:rPr>
              <w:t>Innledning:</w:t>
            </w:r>
          </w:p>
          <w:p w:rsidR="009F05EF" w:rsidRDefault="009F05EF" w:rsidP="009F05EF">
            <w:pPr>
              <w:rPr>
                <w:rFonts w:cs="Times New Roman"/>
                <w:sz w:val="22"/>
              </w:rPr>
            </w:pPr>
            <w:r w:rsidRPr="009F05EF">
              <w:rPr>
                <w:rFonts w:cs="Times New Roman"/>
                <w:sz w:val="22"/>
              </w:rPr>
              <w:t>Styremøtet i Brussel 21.10.14</w:t>
            </w:r>
            <w:r w:rsidRPr="009F05EF">
              <w:rPr>
                <w:rFonts w:cs="Times New Roman"/>
                <w:b/>
                <w:sz w:val="22"/>
              </w:rPr>
              <w:t xml:space="preserve"> </w:t>
            </w:r>
            <w:r w:rsidRPr="009F05EF">
              <w:rPr>
                <w:rFonts w:cs="Times New Roman"/>
                <w:sz w:val="22"/>
              </w:rPr>
              <w:t xml:space="preserve">ga sekretariatet et mandat til å forberede et opplegg for revisjon av NSCs langsiktige strategi NSR 2020 som ble vedtatt i 2011. Begrunnelsen er behovet for å oppdatere dokumentet i lys av den politikkutviklingen som har skjedd i EU siden strategien ble vedtatt i 2011, og for så vidt den mottakelsen strategien har fått. Det gjøres oppmerksom på at fokusområder og tiltak i strategien allerede ble modifisert i 2013 og har siden figurert i NSCs årlige handlingsplaner. </w:t>
            </w:r>
          </w:p>
          <w:p w:rsidR="009F05EF" w:rsidRPr="009F05EF" w:rsidRDefault="009F05EF" w:rsidP="009F05EF">
            <w:pPr>
              <w:rPr>
                <w:rFonts w:cs="Times New Roman"/>
                <w:sz w:val="22"/>
              </w:rPr>
            </w:pPr>
          </w:p>
          <w:p w:rsidR="009F05EF" w:rsidRPr="009F05EF" w:rsidRDefault="009F05EF" w:rsidP="009F05EF">
            <w:pPr>
              <w:rPr>
                <w:rFonts w:cs="Times New Roman"/>
                <w:sz w:val="22"/>
              </w:rPr>
            </w:pPr>
            <w:r w:rsidRPr="009F05EF">
              <w:rPr>
                <w:rFonts w:cs="Times New Roman"/>
                <w:sz w:val="22"/>
              </w:rPr>
              <w:t xml:space="preserve">Vi er nå kommet halvveis i planperioden for strategien, og det anses som naturlig å benytte anledningen til å analysere hva strategien har oppnådd, og hva som fortsatt gjenstår. Det er også behov for å oppdatere strategien i forhold til EUs politikk for makroregionale og sjøbassengstrategier (jf. evalueringer og retningslinjer fra Kommisjonen), samt i forhold til de </w:t>
            </w:r>
            <w:r w:rsidRPr="009F05EF">
              <w:rPr>
                <w:rFonts w:cs="Times New Roman"/>
                <w:sz w:val="22"/>
              </w:rPr>
              <w:lastRenderedPageBreak/>
              <w:t xml:space="preserve">sektorpolitiske områder som strategien omfatter. Valget på nytt Europaparlament og ny Kommisjon, samt oppstarten av ny programperiode begrunner også for revisjonen. </w:t>
            </w:r>
          </w:p>
          <w:p w:rsidR="009F05EF" w:rsidRPr="009F05EF" w:rsidRDefault="009F05EF" w:rsidP="009F05EF">
            <w:pPr>
              <w:rPr>
                <w:rFonts w:cs="Times New Roman"/>
                <w:sz w:val="22"/>
              </w:rPr>
            </w:pPr>
            <w:r w:rsidRPr="009F05EF">
              <w:rPr>
                <w:rFonts w:cs="Times New Roman"/>
                <w:sz w:val="22"/>
              </w:rPr>
              <w:t xml:space="preserve">Nordsjøkommisjonens styre vedtok det skisserte opplegget for revisjonen på møtet 4.mars. Styret understreker at det kun er snakk om en revisjon, og ikke en fullstendig omskriving av strategien. Det har siden vært et møte i styringsgruppen (presidentskapet) og i den administrative gruppen, der undertegnede har deltatt som tematisk rådgiver for transportgruppen. De tematiske rådgiverne har også bidratt med innspill til oppdaterte politikkdokumenter. Styret har besluttet å avsette 30 000 Euro til arbeidet, herunder til kjøp av ekstern ekspertise. Revisjonen skal sluttføres på generalforsamlingen i 2016. Årsmøtet 18.06.2015 sluttet seg til sekretariatet forslag til videre prosess. </w:t>
            </w:r>
          </w:p>
          <w:p w:rsidR="009F05EF" w:rsidRDefault="009F05EF" w:rsidP="005E0405">
            <w:pPr>
              <w:rPr>
                <w:sz w:val="22"/>
              </w:rPr>
            </w:pPr>
          </w:p>
          <w:p w:rsidR="009F05EF" w:rsidRPr="009F05EF" w:rsidRDefault="009F05EF" w:rsidP="005E0405">
            <w:pPr>
              <w:rPr>
                <w:sz w:val="22"/>
                <w:u w:val="single"/>
              </w:rPr>
            </w:pPr>
            <w:r w:rsidRPr="009F05EF">
              <w:rPr>
                <w:sz w:val="22"/>
                <w:u w:val="single"/>
              </w:rPr>
              <w:t>I møtet 28.10:</w:t>
            </w:r>
          </w:p>
          <w:p w:rsidR="008C547D" w:rsidRDefault="008C547D" w:rsidP="005E0405">
            <w:pPr>
              <w:rPr>
                <w:sz w:val="22"/>
              </w:rPr>
            </w:pPr>
            <w:r>
              <w:rPr>
                <w:sz w:val="22"/>
              </w:rPr>
              <w:t xml:space="preserve">Sekretariatet gjennomgikk status i arbeidet med revisjonsprosessen, noen resultater fra spørreundersøkelsen og la frem et forslag til reviderte fokusområder og strategiske mål. Dette forslaget ble gjennomgått og det kom frem noen mindre presiseringer og justeringer under møtet som alle var enige om. </w:t>
            </w:r>
          </w:p>
          <w:p w:rsidR="00474056" w:rsidRDefault="00474056" w:rsidP="005E0405">
            <w:pPr>
              <w:rPr>
                <w:sz w:val="22"/>
              </w:rPr>
            </w:pPr>
          </w:p>
          <w:p w:rsidR="009F05EF" w:rsidRPr="009F05EF" w:rsidRDefault="009F05EF" w:rsidP="005E0405">
            <w:pPr>
              <w:rPr>
                <w:sz w:val="22"/>
                <w:u w:val="single"/>
              </w:rPr>
            </w:pPr>
            <w:r w:rsidRPr="009F05EF">
              <w:rPr>
                <w:sz w:val="22"/>
                <w:u w:val="single"/>
              </w:rPr>
              <w:t>Beslutning:</w:t>
            </w:r>
          </w:p>
          <w:p w:rsidR="008C547D" w:rsidRDefault="008C547D" w:rsidP="005E0405">
            <w:pPr>
              <w:rPr>
                <w:sz w:val="22"/>
              </w:rPr>
            </w:pPr>
            <w:r>
              <w:rPr>
                <w:sz w:val="22"/>
              </w:rPr>
              <w:t>ExCom tok til orientering rapporten som beskriver revisjonsprosessen fra mars til september 2015, rapporten på NSC 2020 handlingsplan 2011 – 2015 og input fra medlemmene gjennom spørreundersøkelsen.</w:t>
            </w:r>
          </w:p>
          <w:p w:rsidR="008C547D" w:rsidRDefault="008C547D" w:rsidP="005E0405">
            <w:pPr>
              <w:rPr>
                <w:sz w:val="22"/>
              </w:rPr>
            </w:pPr>
            <w:r>
              <w:rPr>
                <w:sz w:val="22"/>
              </w:rPr>
              <w:t>ExCom vedtok de reviderte fokusområdene og strategiske målene, som ble lagt frem på møtet, med noen justeringer.</w:t>
            </w:r>
          </w:p>
          <w:p w:rsidR="00474056" w:rsidRPr="002375C6" w:rsidRDefault="00474056" w:rsidP="005E0405">
            <w:pPr>
              <w:rPr>
                <w:sz w:val="22"/>
              </w:rPr>
            </w:pPr>
          </w:p>
        </w:tc>
      </w:tr>
      <w:tr w:rsidR="005E0405" w:rsidTr="005E0405">
        <w:tc>
          <w:tcPr>
            <w:tcW w:w="9062" w:type="dxa"/>
          </w:tcPr>
          <w:p w:rsidR="005E0405" w:rsidRPr="002375C6" w:rsidRDefault="005E0405" w:rsidP="005E0405">
            <w:pPr>
              <w:rPr>
                <w:b/>
                <w:i/>
                <w:sz w:val="22"/>
              </w:rPr>
            </w:pPr>
            <w:r w:rsidRPr="002375C6">
              <w:rPr>
                <w:b/>
                <w:i/>
                <w:sz w:val="22"/>
              </w:rPr>
              <w:lastRenderedPageBreak/>
              <w:t>Sak 12 Plan for workshop 27.10</w:t>
            </w:r>
          </w:p>
          <w:p w:rsidR="00D80B6D" w:rsidRDefault="00D80B6D" w:rsidP="00D80B6D">
            <w:pPr>
              <w:rPr>
                <w:sz w:val="22"/>
              </w:rPr>
            </w:pPr>
          </w:p>
          <w:p w:rsidR="009F05EF" w:rsidRPr="009F05EF" w:rsidRDefault="009F05EF" w:rsidP="00D80B6D">
            <w:pPr>
              <w:rPr>
                <w:sz w:val="22"/>
                <w:u w:val="single"/>
              </w:rPr>
            </w:pPr>
            <w:r w:rsidRPr="009F05EF">
              <w:rPr>
                <w:sz w:val="22"/>
                <w:u w:val="single"/>
              </w:rPr>
              <w:t>Innledning:</w:t>
            </w:r>
          </w:p>
          <w:p w:rsidR="009F05EF" w:rsidRPr="009F05EF" w:rsidRDefault="009F05EF" w:rsidP="009F05EF">
            <w:pPr>
              <w:rPr>
                <w:rFonts w:cs="Times New Roman"/>
                <w:sz w:val="22"/>
              </w:rPr>
            </w:pPr>
            <w:r w:rsidRPr="009F05EF">
              <w:rPr>
                <w:rFonts w:cs="Times New Roman"/>
                <w:sz w:val="22"/>
              </w:rPr>
              <w:t xml:space="preserve">Styret skal ha en intern workshop for å diskutere strategiske og organisatoriske spørsmål mer i dybden. Dette gjelder revisjonen av NSR 2020-strategien (sak 11) i konteksten av spørsmålet om å etablere et permanent NSC-sekretariat hos CPMR i Brussel (sak 15). Disse to sakene henger naturlig sammen ettersom oppsettet av sekretariatet og de tematiske gruppene må tilpasses strategiens innretning. Den andre delen av seminaret vil handle om opptakten til den globale klimakonferansen i Paris i desember – COP21. </w:t>
            </w:r>
          </w:p>
          <w:p w:rsidR="009F05EF" w:rsidRDefault="009F05EF" w:rsidP="009F05EF">
            <w:pPr>
              <w:rPr>
                <w:rFonts w:cs="Times New Roman"/>
                <w:sz w:val="22"/>
              </w:rPr>
            </w:pPr>
            <w:r w:rsidRPr="009F05EF">
              <w:rPr>
                <w:rFonts w:cs="Times New Roman"/>
                <w:sz w:val="22"/>
              </w:rPr>
              <w:t>NSCs medlemsregioner inviteres til å formulere tre utfordringer og tre muligheter for egne regioner som skal framføres av de nasjonale styremedlemmene på seminaret. Det er ikke helt opplagt hvorfor man legger opp til dette akkurat nå med tanke på at det ikke inngikk i spørreundersøkelsen som nylig ble gjennomført om NSR 2020-strategien (se sak 11 ovenfor).</w:t>
            </w:r>
          </w:p>
          <w:p w:rsidR="009F05EF" w:rsidRDefault="009F05EF" w:rsidP="009F05EF">
            <w:pPr>
              <w:rPr>
                <w:rFonts w:cs="Times New Roman"/>
                <w:sz w:val="22"/>
              </w:rPr>
            </w:pPr>
          </w:p>
          <w:p w:rsidR="009F05EF" w:rsidRPr="009F05EF" w:rsidRDefault="009F05EF" w:rsidP="009F05EF">
            <w:pPr>
              <w:rPr>
                <w:sz w:val="22"/>
                <w:u w:val="single"/>
              </w:rPr>
            </w:pPr>
            <w:r w:rsidRPr="009F05EF">
              <w:rPr>
                <w:rFonts w:cs="Times New Roman"/>
                <w:sz w:val="22"/>
                <w:u w:val="single"/>
              </w:rPr>
              <w:t>I møtet 28.10:</w:t>
            </w:r>
          </w:p>
          <w:p w:rsidR="00D80B6D" w:rsidRDefault="00D80B6D" w:rsidP="00D80B6D">
            <w:pPr>
              <w:rPr>
                <w:sz w:val="22"/>
              </w:rPr>
            </w:pPr>
            <w:r>
              <w:rPr>
                <w:sz w:val="22"/>
              </w:rPr>
              <w:t xml:space="preserve">Sekretariatet gjennomgikk noen av de innspillene som kom på workshopen dagen før. </w:t>
            </w:r>
          </w:p>
          <w:p w:rsidR="00D80B6D" w:rsidRDefault="00D80B6D" w:rsidP="00D80B6D">
            <w:pPr>
              <w:pStyle w:val="Listeavsnitt"/>
              <w:numPr>
                <w:ilvl w:val="0"/>
                <w:numId w:val="35"/>
              </w:numPr>
              <w:rPr>
                <w:sz w:val="22"/>
              </w:rPr>
            </w:pPr>
            <w:r>
              <w:rPr>
                <w:sz w:val="22"/>
              </w:rPr>
              <w:t xml:space="preserve"> U</w:t>
            </w:r>
            <w:r w:rsidRPr="00D80B6D">
              <w:rPr>
                <w:sz w:val="22"/>
              </w:rPr>
              <w:t>tfor</w:t>
            </w:r>
            <w:r>
              <w:rPr>
                <w:sz w:val="22"/>
              </w:rPr>
              <w:t>dringer og muligheter fra de ulike medlemmene</w:t>
            </w:r>
          </w:p>
          <w:p w:rsidR="00D80B6D" w:rsidRPr="00D80B6D" w:rsidRDefault="00D80B6D" w:rsidP="00D80B6D">
            <w:pPr>
              <w:pStyle w:val="Listeavsnitt"/>
              <w:numPr>
                <w:ilvl w:val="0"/>
                <w:numId w:val="35"/>
              </w:numPr>
              <w:rPr>
                <w:sz w:val="22"/>
              </w:rPr>
            </w:pPr>
            <w:r>
              <w:rPr>
                <w:sz w:val="22"/>
              </w:rPr>
              <w:t>Mulig strukturering av de tematiske arbeidsgruppene</w:t>
            </w:r>
          </w:p>
          <w:p w:rsidR="00D80B6D" w:rsidRDefault="00D80B6D" w:rsidP="00D80B6D">
            <w:pPr>
              <w:rPr>
                <w:sz w:val="22"/>
              </w:rPr>
            </w:pPr>
          </w:p>
          <w:p w:rsidR="00D80B6D" w:rsidRPr="00B61FDD" w:rsidRDefault="00D80B6D" w:rsidP="00D80B6D">
            <w:pPr>
              <w:rPr>
                <w:sz w:val="22"/>
              </w:rPr>
            </w:pPr>
            <w:r>
              <w:rPr>
                <w:sz w:val="22"/>
              </w:rPr>
              <w:t>Forslag til struktur på de tematiske arbeidsgruppene vil bli behandlet på ExCom i mars.</w:t>
            </w:r>
          </w:p>
          <w:p w:rsidR="00687DB8" w:rsidRDefault="00687DB8" w:rsidP="00D80B6D">
            <w:pPr>
              <w:rPr>
                <w:sz w:val="22"/>
                <w:u w:val="single"/>
              </w:rPr>
            </w:pPr>
          </w:p>
          <w:p w:rsidR="009F05EF" w:rsidRDefault="009F05EF" w:rsidP="00D80B6D">
            <w:pPr>
              <w:rPr>
                <w:sz w:val="22"/>
                <w:u w:val="single"/>
              </w:rPr>
            </w:pPr>
            <w:r>
              <w:rPr>
                <w:sz w:val="22"/>
                <w:u w:val="single"/>
              </w:rPr>
              <w:t>Beslutning:</w:t>
            </w:r>
          </w:p>
          <w:p w:rsidR="00D80B6D" w:rsidRPr="00D80B6D" w:rsidRDefault="00D80B6D" w:rsidP="00D80B6D">
            <w:pPr>
              <w:rPr>
                <w:sz w:val="22"/>
              </w:rPr>
            </w:pPr>
            <w:r w:rsidRPr="00D80B6D">
              <w:rPr>
                <w:sz w:val="22"/>
              </w:rPr>
              <w:t>Styret tok informasjonen til orientering.</w:t>
            </w:r>
          </w:p>
          <w:p w:rsidR="00D80B6D" w:rsidRPr="00687DB8" w:rsidRDefault="00D80B6D" w:rsidP="00D80B6D">
            <w:pPr>
              <w:rPr>
                <w:sz w:val="22"/>
              </w:rPr>
            </w:pPr>
          </w:p>
        </w:tc>
      </w:tr>
      <w:tr w:rsidR="005E0405" w:rsidTr="005E0405">
        <w:tc>
          <w:tcPr>
            <w:tcW w:w="9062" w:type="dxa"/>
          </w:tcPr>
          <w:p w:rsidR="005E0405" w:rsidRPr="002375C6" w:rsidRDefault="00D80B6D" w:rsidP="005E0405">
            <w:pPr>
              <w:rPr>
                <w:b/>
                <w:i/>
                <w:sz w:val="22"/>
              </w:rPr>
            </w:pPr>
            <w:r>
              <w:rPr>
                <w:b/>
                <w:i/>
                <w:sz w:val="22"/>
              </w:rPr>
              <w:t>Sak 13 Oppdatering vedrørende «</w:t>
            </w:r>
            <w:r w:rsidR="005E0405" w:rsidRPr="002375C6">
              <w:rPr>
                <w:b/>
                <w:i/>
                <w:sz w:val="22"/>
              </w:rPr>
              <w:t>Preparatory Action</w:t>
            </w:r>
            <w:r>
              <w:rPr>
                <w:b/>
                <w:i/>
                <w:sz w:val="22"/>
              </w:rPr>
              <w:t>»/forstudie</w:t>
            </w:r>
          </w:p>
          <w:p w:rsidR="001A3C7A" w:rsidRDefault="001A3C7A" w:rsidP="005E0405">
            <w:pPr>
              <w:rPr>
                <w:sz w:val="22"/>
              </w:rPr>
            </w:pPr>
          </w:p>
          <w:p w:rsidR="00C353E6" w:rsidRPr="00C353E6" w:rsidRDefault="00C353E6" w:rsidP="005E0405">
            <w:pPr>
              <w:rPr>
                <w:sz w:val="22"/>
                <w:u w:val="single"/>
              </w:rPr>
            </w:pPr>
            <w:r w:rsidRPr="00C353E6">
              <w:rPr>
                <w:sz w:val="22"/>
                <w:u w:val="single"/>
              </w:rPr>
              <w:t>Innledning:</w:t>
            </w:r>
          </w:p>
          <w:p w:rsidR="00C353E6" w:rsidRPr="00C353E6" w:rsidRDefault="00C353E6" w:rsidP="00C353E6">
            <w:pPr>
              <w:rPr>
                <w:rFonts w:cs="Times New Roman"/>
                <w:bCs/>
                <w:sz w:val="22"/>
              </w:rPr>
            </w:pPr>
            <w:r w:rsidRPr="00C353E6">
              <w:rPr>
                <w:rFonts w:cs="Times New Roman"/>
                <w:bCs/>
                <w:sz w:val="22"/>
              </w:rPr>
              <w:lastRenderedPageBreak/>
              <w:t xml:space="preserve">I oktober 2013 bevilget Europaparlamentet 250 000 Euro til en "Preparatory Action for the North Sea Region" (tilsvarende en forstudie eller utredning) etter forutgående lobbyvirksomhet fra Nordsjøkommisjonens daværende president og sekretariat i Nordjylland som en oppfølging av NSR 2020-strategien (se sak 11 ovenfor). Formålet med dette tiltaket er å analysere Nordsjøregionens vekstpotensial med tanke på å utrede tilleggsverdien av en fremtidig makro-regional strategi for regionen – i tråd med ambisjonen i Nordsjøkommisjonens NSR 2020-strategi). Bevilgningen fra Europaparlamentet må ses på bakgrunn av at EUs medlemsstater i regionen er skeptiske til å vedta en full makro-regional strategi for Nordsjøregionen etter modell av EUs Østersjøstrategi fra 2009. Dermed vil heller ikke EU-kommisjonen til initiativ til å utarbeide strategien. Nordsjøkommisjonen og den europeiske paraplyorganisasjonen CPMR innledet vinteren 2014 en dialog med EU-kommisjonens regionaldirektorat DG Regio om hvordan Preparatory action- tiltaket kan gjennomføres. Ansvaret for å gjennomføre tiltaket er senere overført til EU-kommisjonens maritime direktorat DG Mare, noe som tilsier en sjøbassengtilnærming. Nordsjøkommisjonen samarbeider nå med DG Mare om gjennomføringen av Preparatory Action, og det ble som ledd i dette arrangert en konferanse i Edinburgh 29.januar. </w:t>
            </w:r>
          </w:p>
          <w:p w:rsidR="00C353E6" w:rsidRDefault="00C353E6" w:rsidP="005E0405">
            <w:pPr>
              <w:rPr>
                <w:sz w:val="22"/>
              </w:rPr>
            </w:pPr>
          </w:p>
          <w:p w:rsidR="00C353E6" w:rsidRPr="00C353E6" w:rsidRDefault="00C353E6" w:rsidP="005E0405">
            <w:pPr>
              <w:rPr>
                <w:sz w:val="22"/>
                <w:u w:val="single"/>
              </w:rPr>
            </w:pPr>
            <w:r w:rsidRPr="00C353E6">
              <w:rPr>
                <w:sz w:val="22"/>
                <w:u w:val="single"/>
              </w:rPr>
              <w:t>I møtet 28.10:</w:t>
            </w:r>
          </w:p>
          <w:p w:rsidR="00D80B6D" w:rsidRDefault="00D80B6D" w:rsidP="005E0405">
            <w:pPr>
              <w:rPr>
                <w:sz w:val="22"/>
              </w:rPr>
            </w:pPr>
            <w:r>
              <w:rPr>
                <w:sz w:val="22"/>
              </w:rPr>
              <w:t>Sekretariatet utarbeider en en-sides informasjonsnotat til bruk ved lobbying.</w:t>
            </w:r>
          </w:p>
          <w:p w:rsidR="00D80B6D" w:rsidRDefault="00D80B6D" w:rsidP="005E0405">
            <w:pPr>
              <w:rPr>
                <w:sz w:val="22"/>
              </w:rPr>
            </w:pPr>
          </w:p>
          <w:p w:rsidR="00C353E6" w:rsidRPr="00C353E6" w:rsidRDefault="00C353E6" w:rsidP="005E0405">
            <w:pPr>
              <w:rPr>
                <w:sz w:val="22"/>
                <w:u w:val="single"/>
              </w:rPr>
            </w:pPr>
            <w:r w:rsidRPr="00C353E6">
              <w:rPr>
                <w:sz w:val="22"/>
                <w:u w:val="single"/>
              </w:rPr>
              <w:t>Beslutning:</w:t>
            </w:r>
          </w:p>
          <w:p w:rsidR="00D80B6D" w:rsidRDefault="00D80B6D" w:rsidP="005E0405">
            <w:pPr>
              <w:rPr>
                <w:sz w:val="22"/>
              </w:rPr>
            </w:pPr>
            <w:r>
              <w:rPr>
                <w:sz w:val="22"/>
              </w:rPr>
              <w:t xml:space="preserve">ExCom </w:t>
            </w:r>
            <w:r w:rsidR="00CA411E">
              <w:rPr>
                <w:sz w:val="22"/>
              </w:rPr>
              <w:t xml:space="preserve">tok </w:t>
            </w:r>
            <w:r>
              <w:rPr>
                <w:sz w:val="22"/>
              </w:rPr>
              <w:t>informasjonen til orientering.</w:t>
            </w:r>
          </w:p>
          <w:p w:rsidR="00D80B6D" w:rsidRDefault="00D80B6D" w:rsidP="005E0405">
            <w:pPr>
              <w:rPr>
                <w:sz w:val="22"/>
              </w:rPr>
            </w:pPr>
            <w:r>
              <w:rPr>
                <w:sz w:val="22"/>
              </w:rPr>
              <w:t>Medlemmene følger opp den henvendelsen som ble gjort til nasjonale myndigheter vedrørende Assen deklarasjonen.</w:t>
            </w:r>
          </w:p>
          <w:p w:rsidR="000A12F6" w:rsidRPr="000A12F6" w:rsidRDefault="000A12F6" w:rsidP="00D80B6D">
            <w:pPr>
              <w:rPr>
                <w:sz w:val="22"/>
              </w:rPr>
            </w:pPr>
          </w:p>
        </w:tc>
      </w:tr>
      <w:tr w:rsidR="005E0405" w:rsidTr="005E0405">
        <w:tc>
          <w:tcPr>
            <w:tcW w:w="9062" w:type="dxa"/>
          </w:tcPr>
          <w:p w:rsidR="005E0405" w:rsidRPr="002375C6" w:rsidRDefault="00CA411E" w:rsidP="005E0405">
            <w:pPr>
              <w:rPr>
                <w:b/>
                <w:i/>
                <w:sz w:val="22"/>
              </w:rPr>
            </w:pPr>
            <w:r>
              <w:rPr>
                <w:b/>
                <w:i/>
                <w:sz w:val="22"/>
              </w:rPr>
              <w:lastRenderedPageBreak/>
              <w:t xml:space="preserve">Sak 14 Status i oppfølging av </w:t>
            </w:r>
            <w:r w:rsidR="005E0405" w:rsidRPr="002375C6">
              <w:rPr>
                <w:b/>
                <w:i/>
                <w:sz w:val="22"/>
              </w:rPr>
              <w:t xml:space="preserve">Assen </w:t>
            </w:r>
            <w:r>
              <w:rPr>
                <w:b/>
                <w:i/>
                <w:sz w:val="22"/>
              </w:rPr>
              <w:t>Deklarasjonen</w:t>
            </w:r>
          </w:p>
          <w:p w:rsidR="006556A3" w:rsidRDefault="006556A3" w:rsidP="005E0405">
            <w:pPr>
              <w:rPr>
                <w:sz w:val="22"/>
              </w:rPr>
            </w:pPr>
          </w:p>
          <w:p w:rsidR="00C353E6" w:rsidRPr="00C353E6" w:rsidRDefault="00C353E6" w:rsidP="005E0405">
            <w:pPr>
              <w:rPr>
                <w:sz w:val="22"/>
                <w:u w:val="single"/>
              </w:rPr>
            </w:pPr>
            <w:r w:rsidRPr="00C353E6">
              <w:rPr>
                <w:sz w:val="22"/>
                <w:u w:val="single"/>
              </w:rPr>
              <w:t>Innledning:</w:t>
            </w:r>
          </w:p>
          <w:p w:rsidR="00C353E6" w:rsidRPr="00C353E6" w:rsidRDefault="00C353E6" w:rsidP="00C353E6">
            <w:pPr>
              <w:autoSpaceDE w:val="0"/>
              <w:autoSpaceDN w:val="0"/>
              <w:adjustRightInd w:val="0"/>
              <w:rPr>
                <w:rFonts w:cs="Times New Roman"/>
                <w:sz w:val="22"/>
              </w:rPr>
            </w:pPr>
            <w:r w:rsidRPr="00C353E6">
              <w:rPr>
                <w:rFonts w:cs="Times New Roman"/>
                <w:sz w:val="22"/>
              </w:rPr>
              <w:t xml:space="preserve">NSCs årsmøte i Assen 18.06.2015 vedtok en uttalelse til det kommende nederlandske EU-formannskapet fra 1.1.2016. Uttalelsen har som utgangspunkt at det er mange likhetspunkter mellom Nederlands North Sea Spatial Agenda 2050 og Nordsjøkommisjonens NSR 2020-strategi. </w:t>
            </w:r>
            <w:r w:rsidRPr="00C353E6">
              <w:rPr>
                <w:rFonts w:eastAsia="Times New Roman" w:cs="Times New Roman"/>
                <w:sz w:val="22"/>
                <w:lang w:eastAsia="nb-NO"/>
              </w:rPr>
              <w:t>Uttalelsen er utformet som et budskap til det nederlandske EU-formannskapet i våren 2016, og er et eksempel på hvordan NSC kan benytte muligheten til å påvirke medlemslandene og EUs institusjoner. Uttalelsen er koblet til «Preparatory action</w:t>
            </w:r>
            <w:r w:rsidR="008D70BC">
              <w:rPr>
                <w:rFonts w:eastAsia="Times New Roman" w:cs="Times New Roman"/>
                <w:sz w:val="22"/>
                <w:lang w:eastAsia="nb-NO"/>
              </w:rPr>
              <w:t xml:space="preserve"> for the North Sea»</w:t>
            </w:r>
            <w:r w:rsidRPr="00C353E6">
              <w:rPr>
                <w:rFonts w:eastAsia="Times New Roman" w:cs="Times New Roman"/>
                <w:sz w:val="22"/>
                <w:lang w:eastAsia="nb-NO"/>
              </w:rPr>
              <w:t xml:space="preserve">. </w:t>
            </w:r>
          </w:p>
          <w:p w:rsidR="00C353E6" w:rsidRPr="00C353E6" w:rsidRDefault="00C353E6" w:rsidP="00C353E6">
            <w:pPr>
              <w:autoSpaceDE w:val="0"/>
              <w:autoSpaceDN w:val="0"/>
              <w:adjustRightInd w:val="0"/>
              <w:rPr>
                <w:rFonts w:eastAsia="Times New Roman" w:cs="Times New Roman"/>
                <w:sz w:val="22"/>
                <w:lang w:eastAsia="nb-NO"/>
              </w:rPr>
            </w:pPr>
          </w:p>
          <w:p w:rsidR="00C353E6" w:rsidRPr="00C353E6" w:rsidRDefault="00C353E6" w:rsidP="00C353E6">
            <w:pPr>
              <w:autoSpaceDE w:val="0"/>
              <w:autoSpaceDN w:val="0"/>
              <w:adjustRightInd w:val="0"/>
              <w:rPr>
                <w:rFonts w:eastAsia="Times New Roman" w:cs="Times New Roman"/>
                <w:sz w:val="22"/>
                <w:lang w:eastAsia="nb-NO"/>
              </w:rPr>
            </w:pPr>
            <w:r w:rsidRPr="00C353E6">
              <w:rPr>
                <w:rFonts w:eastAsia="Times New Roman" w:cs="Times New Roman"/>
                <w:sz w:val="22"/>
                <w:lang w:eastAsia="nb-NO"/>
              </w:rPr>
              <w:t xml:space="preserve">Hovedpunktene er: </w:t>
            </w:r>
          </w:p>
          <w:p w:rsidR="00C353E6" w:rsidRPr="00C353E6" w:rsidRDefault="00C353E6" w:rsidP="00C353E6">
            <w:pPr>
              <w:numPr>
                <w:ilvl w:val="0"/>
                <w:numId w:val="32"/>
              </w:numPr>
              <w:autoSpaceDE w:val="0"/>
              <w:autoSpaceDN w:val="0"/>
              <w:adjustRightInd w:val="0"/>
              <w:rPr>
                <w:rFonts w:eastAsia="Times New Roman" w:cs="Times New Roman"/>
                <w:sz w:val="22"/>
                <w:lang w:eastAsia="nb-NO"/>
              </w:rPr>
            </w:pPr>
            <w:r w:rsidRPr="00C353E6">
              <w:rPr>
                <w:rFonts w:eastAsia="Times New Roman" w:cs="Times New Roman"/>
                <w:sz w:val="22"/>
                <w:lang w:eastAsia="nb-NO"/>
              </w:rPr>
              <w:t>Ønske om en ministerkonferanse om Nordsjøen i løpet av formannskapsperioden</w:t>
            </w:r>
          </w:p>
          <w:p w:rsidR="00C353E6" w:rsidRPr="00C353E6" w:rsidRDefault="00C353E6" w:rsidP="00C353E6">
            <w:pPr>
              <w:numPr>
                <w:ilvl w:val="0"/>
                <w:numId w:val="32"/>
              </w:numPr>
              <w:autoSpaceDE w:val="0"/>
              <w:autoSpaceDN w:val="0"/>
              <w:adjustRightInd w:val="0"/>
              <w:rPr>
                <w:rFonts w:eastAsia="Times New Roman" w:cs="Times New Roman"/>
                <w:sz w:val="22"/>
                <w:lang w:eastAsia="nb-NO"/>
              </w:rPr>
            </w:pPr>
            <w:r w:rsidRPr="00C353E6">
              <w:rPr>
                <w:rFonts w:eastAsia="Times New Roman" w:cs="Times New Roman"/>
                <w:sz w:val="22"/>
                <w:lang w:eastAsia="nb-NO"/>
              </w:rPr>
              <w:t xml:space="preserve">Utviklingen av et North Sea Energy Grid og behovet for å fjerne barrierer i eksisterende reguleringer og lover </w:t>
            </w:r>
          </w:p>
          <w:p w:rsidR="00C353E6" w:rsidRPr="00C353E6" w:rsidRDefault="00C353E6" w:rsidP="00C353E6">
            <w:pPr>
              <w:numPr>
                <w:ilvl w:val="0"/>
                <w:numId w:val="32"/>
              </w:numPr>
              <w:autoSpaceDE w:val="0"/>
              <w:autoSpaceDN w:val="0"/>
              <w:adjustRightInd w:val="0"/>
              <w:rPr>
                <w:rFonts w:eastAsia="Times New Roman" w:cs="Times New Roman"/>
                <w:sz w:val="22"/>
                <w:lang w:eastAsia="nb-NO"/>
              </w:rPr>
            </w:pPr>
            <w:r w:rsidRPr="00C353E6">
              <w:rPr>
                <w:rFonts w:eastAsia="Times New Roman" w:cs="Times New Roman"/>
                <w:sz w:val="22"/>
                <w:lang w:eastAsia="nb-NO"/>
              </w:rPr>
              <w:t xml:space="preserve">Etablering av et fond med offentlige og private midler for å støtte energiprosjekter og pilotprosjekter på tvers av grensene i Nordsjøregionen innenfor rammen av EUs Energiunion. </w:t>
            </w:r>
          </w:p>
          <w:p w:rsidR="00C353E6" w:rsidRPr="00C353E6" w:rsidRDefault="00C353E6" w:rsidP="005E0405">
            <w:pPr>
              <w:rPr>
                <w:sz w:val="22"/>
              </w:rPr>
            </w:pPr>
          </w:p>
          <w:p w:rsidR="00C353E6" w:rsidRPr="00C353E6" w:rsidRDefault="00C353E6" w:rsidP="005E0405">
            <w:pPr>
              <w:rPr>
                <w:sz w:val="22"/>
                <w:u w:val="single"/>
              </w:rPr>
            </w:pPr>
            <w:r w:rsidRPr="00C353E6">
              <w:rPr>
                <w:sz w:val="22"/>
                <w:u w:val="single"/>
              </w:rPr>
              <w:t>I møtet 28.10:</w:t>
            </w:r>
          </w:p>
          <w:p w:rsidR="00CA411E" w:rsidRDefault="00616B56" w:rsidP="005E0405">
            <w:pPr>
              <w:rPr>
                <w:sz w:val="22"/>
              </w:rPr>
            </w:pPr>
            <w:r>
              <w:rPr>
                <w:sz w:val="22"/>
              </w:rPr>
              <w:t>Man har til nå fått é</w:t>
            </w:r>
            <w:r w:rsidR="00CA411E">
              <w:rPr>
                <w:sz w:val="22"/>
              </w:rPr>
              <w:t xml:space="preserve">n tilbakemelding fra nasjonale myndigheter. </w:t>
            </w:r>
          </w:p>
          <w:p w:rsidR="00CF1B7F" w:rsidRDefault="00CF1B7F" w:rsidP="00F0753F">
            <w:pPr>
              <w:rPr>
                <w:sz w:val="22"/>
              </w:rPr>
            </w:pPr>
          </w:p>
          <w:p w:rsidR="00C353E6" w:rsidRPr="00C353E6" w:rsidRDefault="00C353E6" w:rsidP="00F0753F">
            <w:pPr>
              <w:rPr>
                <w:sz w:val="22"/>
                <w:u w:val="single"/>
              </w:rPr>
            </w:pPr>
            <w:r w:rsidRPr="00C353E6">
              <w:rPr>
                <w:sz w:val="22"/>
                <w:u w:val="single"/>
              </w:rPr>
              <w:t>Beslutning:</w:t>
            </w:r>
          </w:p>
          <w:p w:rsidR="00CA411E" w:rsidRPr="00F0753F" w:rsidRDefault="00CA411E" w:rsidP="00F0753F">
            <w:pPr>
              <w:rPr>
                <w:sz w:val="22"/>
              </w:rPr>
            </w:pPr>
            <w:r>
              <w:rPr>
                <w:sz w:val="22"/>
              </w:rPr>
              <w:t>Informasjonen ble tatt til orientering.</w:t>
            </w:r>
          </w:p>
          <w:p w:rsidR="000A12F6" w:rsidRPr="000A12F6" w:rsidRDefault="000A12F6" w:rsidP="000A12F6">
            <w:pPr>
              <w:pStyle w:val="Listeavsnitt"/>
              <w:rPr>
                <w:sz w:val="22"/>
              </w:rPr>
            </w:pPr>
          </w:p>
        </w:tc>
      </w:tr>
      <w:tr w:rsidR="005E0405" w:rsidTr="005E0405">
        <w:tc>
          <w:tcPr>
            <w:tcW w:w="9062" w:type="dxa"/>
            <w:shd w:val="clear" w:color="auto" w:fill="D9D9D9" w:themeFill="background1" w:themeFillShade="D9"/>
          </w:tcPr>
          <w:p w:rsidR="005E0405" w:rsidRDefault="00CA411E" w:rsidP="005E0405">
            <w:pPr>
              <w:pStyle w:val="Overskrift2"/>
              <w:outlineLvl w:val="1"/>
            </w:pPr>
            <w:r>
              <w:t xml:space="preserve">Organisatoriske saker </w:t>
            </w:r>
          </w:p>
        </w:tc>
      </w:tr>
      <w:tr w:rsidR="005E0405" w:rsidTr="005E0405">
        <w:tc>
          <w:tcPr>
            <w:tcW w:w="9062" w:type="dxa"/>
          </w:tcPr>
          <w:p w:rsidR="005E0405" w:rsidRPr="002375C6" w:rsidRDefault="00E35C79" w:rsidP="005E0405">
            <w:pPr>
              <w:rPr>
                <w:b/>
                <w:i/>
                <w:sz w:val="22"/>
              </w:rPr>
            </w:pPr>
            <w:r>
              <w:rPr>
                <w:b/>
                <w:i/>
                <w:sz w:val="22"/>
              </w:rPr>
              <w:t>Sak 15 Ny</w:t>
            </w:r>
            <w:r w:rsidR="005E0405" w:rsidRPr="002375C6">
              <w:rPr>
                <w:b/>
                <w:i/>
                <w:sz w:val="22"/>
              </w:rPr>
              <w:t xml:space="preserve"> model</w:t>
            </w:r>
            <w:r>
              <w:rPr>
                <w:b/>
                <w:i/>
                <w:sz w:val="22"/>
              </w:rPr>
              <w:t>l for NSC Sekretariatet</w:t>
            </w:r>
            <w:r w:rsidR="005E0405" w:rsidRPr="002375C6">
              <w:rPr>
                <w:b/>
                <w:i/>
                <w:sz w:val="22"/>
              </w:rPr>
              <w:t xml:space="preserve"> under CPMR</w:t>
            </w:r>
          </w:p>
          <w:p w:rsidR="005E0405" w:rsidRDefault="005E0405" w:rsidP="005E0405">
            <w:pPr>
              <w:rPr>
                <w:sz w:val="22"/>
              </w:rPr>
            </w:pPr>
          </w:p>
          <w:p w:rsidR="00450E34" w:rsidRPr="00450E34" w:rsidRDefault="00450E34" w:rsidP="005E0405">
            <w:pPr>
              <w:rPr>
                <w:sz w:val="22"/>
                <w:u w:val="single"/>
              </w:rPr>
            </w:pPr>
            <w:r w:rsidRPr="00450E34">
              <w:rPr>
                <w:sz w:val="22"/>
                <w:u w:val="single"/>
              </w:rPr>
              <w:t>Innledning:</w:t>
            </w:r>
          </w:p>
          <w:p w:rsidR="00450E34" w:rsidRPr="00450E34" w:rsidRDefault="00450E34" w:rsidP="00450E34">
            <w:pPr>
              <w:autoSpaceDE w:val="0"/>
              <w:autoSpaceDN w:val="0"/>
              <w:adjustRightInd w:val="0"/>
              <w:rPr>
                <w:rFonts w:cs="Times New Roman"/>
                <w:bCs/>
                <w:sz w:val="22"/>
              </w:rPr>
            </w:pPr>
            <w:r w:rsidRPr="00450E34">
              <w:rPr>
                <w:rFonts w:cs="Times New Roman"/>
                <w:bCs/>
                <w:sz w:val="22"/>
              </w:rPr>
              <w:lastRenderedPageBreak/>
              <w:t xml:space="preserve">Nordsjøkommisjonens sekretariat følger presidenten og finansieres av presidentens vertsregion. Denne saken ble aktualisert etter at NSCs daværende president Ole B Sørensen ikke ble gjenvalgt i regionalvalgene i Danmark i november 2013, og dermed måtte gå av som Nordsjøkommisjonens president. I sonderingene som fulgte ble det klart at visepresident John Lamb fra Southend i England ikke kunne stille som presidentkandidat fordi hans hjemfylke ikke hadde økonomiske ressurser og administrativ kapasitet til å drive sekretariatet. At økonomiske og administrative ressurser i praksis blir bestemmende for hvorvidt en politiker kan stille som presidentkandidat betraktes som et demokratisk problem. Overføring av sekretariatet fra en region til en annen innebærer også tap av kontinuitet. Ulike sekretariatsmodeller ble diskutert på årsmøtet i Aberdeen i 2014, og styret fikk i oppdrag å utrede modellene nærmere. Styret vedtok 4.mars å legge fram to ulike forslag for årsmøtet i 2015: </w:t>
            </w:r>
          </w:p>
          <w:p w:rsidR="00450E34" w:rsidRPr="00450E34" w:rsidRDefault="00450E34" w:rsidP="00450E34">
            <w:pPr>
              <w:autoSpaceDE w:val="0"/>
              <w:autoSpaceDN w:val="0"/>
              <w:adjustRightInd w:val="0"/>
              <w:rPr>
                <w:rFonts w:cs="Times New Roman"/>
                <w:bCs/>
                <w:sz w:val="22"/>
              </w:rPr>
            </w:pPr>
          </w:p>
          <w:p w:rsidR="00450E34" w:rsidRPr="00450E34" w:rsidRDefault="00450E34" w:rsidP="00450E34">
            <w:pPr>
              <w:numPr>
                <w:ilvl w:val="0"/>
                <w:numId w:val="33"/>
              </w:numPr>
              <w:rPr>
                <w:rFonts w:cs="Times New Roman"/>
                <w:sz w:val="22"/>
              </w:rPr>
            </w:pPr>
            <w:r w:rsidRPr="00450E34">
              <w:rPr>
                <w:rFonts w:cs="Times New Roman"/>
                <w:sz w:val="22"/>
              </w:rPr>
              <w:t xml:space="preserve">Kontingentøkning på 60 000 Euro (tilsv.1500 Euro per år for hvert av de norske medlemsfylkene) for å kunne finansiere et permanent sekretariat hos CPMR og samtidig beholde støtten på 12 000 Euro per år til vertsorganisasjonene for de tematiske rådgiverne. Kontingentøkning blir nødvendig hvis øvrige utgifter skal opprettholdes når sekretariatet ikke lenger finansieres av presidentens vertsregion men fullt ut av medlemmene. </w:t>
            </w:r>
          </w:p>
          <w:p w:rsidR="00450E34" w:rsidRPr="00450E34" w:rsidRDefault="00450E34" w:rsidP="00450E34">
            <w:pPr>
              <w:numPr>
                <w:ilvl w:val="0"/>
                <w:numId w:val="33"/>
              </w:numPr>
              <w:rPr>
                <w:rFonts w:cs="Times New Roman"/>
                <w:sz w:val="22"/>
              </w:rPr>
            </w:pPr>
            <w:r w:rsidRPr="00450E34">
              <w:rPr>
                <w:rFonts w:cs="Times New Roman"/>
                <w:sz w:val="22"/>
              </w:rPr>
              <w:t xml:space="preserve">Videreføring av dagens ordning der sekretariatet følger og finansieres av presidentens vertsorganisasjon </w:t>
            </w:r>
          </w:p>
          <w:p w:rsidR="00450E34" w:rsidRPr="00450E34" w:rsidRDefault="00450E34" w:rsidP="00450E34">
            <w:pPr>
              <w:autoSpaceDE w:val="0"/>
              <w:autoSpaceDN w:val="0"/>
              <w:adjustRightInd w:val="0"/>
              <w:rPr>
                <w:rFonts w:cs="Times New Roman"/>
                <w:sz w:val="22"/>
              </w:rPr>
            </w:pPr>
          </w:p>
          <w:p w:rsidR="00450E34" w:rsidRPr="00450E34" w:rsidRDefault="00450E34" w:rsidP="00450E34">
            <w:pPr>
              <w:autoSpaceDE w:val="0"/>
              <w:autoSpaceDN w:val="0"/>
              <w:adjustRightInd w:val="0"/>
              <w:rPr>
                <w:rFonts w:eastAsia="Times New Roman" w:cs="Times New Roman"/>
                <w:sz w:val="22"/>
                <w:lang w:eastAsia="nb-NO"/>
              </w:rPr>
            </w:pPr>
            <w:r w:rsidRPr="00450E34">
              <w:rPr>
                <w:rFonts w:cs="Times New Roman"/>
                <w:sz w:val="22"/>
              </w:rPr>
              <w:t xml:space="preserve">Rett før årsmøtet i Assen 18.06 fremmet de nederlandske medlemsregionene et alternativt forslag. </w:t>
            </w:r>
            <w:r w:rsidRPr="00450E34">
              <w:rPr>
                <w:rFonts w:eastAsia="Times New Roman" w:cs="Times New Roman"/>
                <w:sz w:val="22"/>
                <w:lang w:eastAsia="nb-NO"/>
              </w:rPr>
              <w:t>Forslaget tar til orde for å</w:t>
            </w:r>
            <w:r w:rsidRPr="00450E34">
              <w:rPr>
                <w:rFonts w:eastAsia="Times New Roman" w:cs="Times New Roman"/>
                <w:sz w:val="22"/>
              </w:rPr>
              <w:t xml:space="preserve"> utrede andre finansieringsmåter enn kontingentøkning, som bl.a. reduksjon i antall tematiske grupper og/eller redusert rådgiverstøtte, samt mindre reisebudsjett for sekretariatet. Også Tyskland vites å være skeptiske til kontingentøkning. I lys av dette var det ikke hensiktsmessig å vedta modellen med kontingentøkning pga risikoen for avskalling av nederlandske og tyske medlemmer. </w:t>
            </w:r>
            <w:r w:rsidRPr="00450E34">
              <w:rPr>
                <w:rFonts w:eastAsia="Times New Roman" w:cs="Times New Roman"/>
                <w:sz w:val="22"/>
                <w:lang w:eastAsia="nb-NO"/>
              </w:rPr>
              <w:t xml:space="preserve">I og med at ingen hadde hatt tid til å studere det nederlandske forslaget og at en trenger mer tid til å se på konsekvensene av dette vedtok årsmøtet å utsette beslutningen om ny sekretariatsmodell til årsmøtet i 2016. </w:t>
            </w:r>
          </w:p>
          <w:p w:rsidR="00450E34" w:rsidRDefault="00450E34" w:rsidP="005E0405">
            <w:pPr>
              <w:rPr>
                <w:sz w:val="22"/>
              </w:rPr>
            </w:pPr>
          </w:p>
          <w:p w:rsidR="00450E34" w:rsidRPr="00450E34" w:rsidRDefault="00450E34" w:rsidP="005E0405">
            <w:pPr>
              <w:rPr>
                <w:sz w:val="22"/>
                <w:u w:val="single"/>
              </w:rPr>
            </w:pPr>
            <w:r w:rsidRPr="00450E34">
              <w:rPr>
                <w:sz w:val="22"/>
                <w:u w:val="single"/>
              </w:rPr>
              <w:t>I møtet 28.10:</w:t>
            </w:r>
          </w:p>
          <w:p w:rsidR="0035190E" w:rsidRDefault="00E35C79" w:rsidP="005E0405">
            <w:pPr>
              <w:rPr>
                <w:sz w:val="22"/>
              </w:rPr>
            </w:pPr>
            <w:r>
              <w:rPr>
                <w:sz w:val="22"/>
              </w:rPr>
              <w:t>Saken ble også diskutert grundig på workshopen dagen før.</w:t>
            </w:r>
          </w:p>
          <w:p w:rsidR="00E35C79" w:rsidRDefault="00E35C79" w:rsidP="005E0405">
            <w:pPr>
              <w:rPr>
                <w:sz w:val="22"/>
              </w:rPr>
            </w:pPr>
            <w:r>
              <w:rPr>
                <w:sz w:val="22"/>
              </w:rPr>
              <w:t>Sekretariatet presenterte en oppsummering fra workshopen med bla fordeler og ulemper ved forslaget til ny modell.</w:t>
            </w:r>
          </w:p>
          <w:p w:rsidR="00E35C79" w:rsidRDefault="00E35C79" w:rsidP="005E0405">
            <w:pPr>
              <w:rPr>
                <w:sz w:val="22"/>
              </w:rPr>
            </w:pPr>
          </w:p>
          <w:p w:rsidR="00E35C79" w:rsidRDefault="00E35C79" w:rsidP="005E0405">
            <w:pPr>
              <w:rPr>
                <w:sz w:val="22"/>
              </w:rPr>
            </w:pPr>
            <w:r>
              <w:rPr>
                <w:sz w:val="22"/>
              </w:rPr>
              <w:t>De fleste medlemmene støttet forslaget fra Nederland, men Tyskland og Danmark var imot kontingentøkning.</w:t>
            </w:r>
            <w:r w:rsidR="00B43BCE">
              <w:rPr>
                <w:sz w:val="22"/>
              </w:rPr>
              <w:t xml:space="preserve"> </w:t>
            </w:r>
          </w:p>
          <w:p w:rsidR="00ED352D" w:rsidRDefault="00ED352D" w:rsidP="005E0405">
            <w:pPr>
              <w:rPr>
                <w:sz w:val="22"/>
              </w:rPr>
            </w:pPr>
          </w:p>
          <w:p w:rsidR="00ED352D" w:rsidRPr="00ED352D" w:rsidRDefault="00ED352D" w:rsidP="00ED352D">
            <w:pPr>
              <w:rPr>
                <w:color w:val="1F497D"/>
                <w:sz w:val="22"/>
              </w:rPr>
            </w:pPr>
            <w:r w:rsidRPr="00ED352D">
              <w:rPr>
                <w:sz w:val="22"/>
              </w:rPr>
              <w:t xml:space="preserve">Andreas Lervik kommenterte under behandlingen av saken at de norske medlemsfylkene under gjeldende modell subsidierer NSC-sekretariatet med 50 000 Euro (jf. støtten som de norske fylkene betaler til Hordaland på kr 50 000 i året). </w:t>
            </w:r>
          </w:p>
          <w:p w:rsidR="00E35C79" w:rsidRDefault="00E35C79" w:rsidP="005E0405">
            <w:pPr>
              <w:rPr>
                <w:sz w:val="22"/>
              </w:rPr>
            </w:pPr>
          </w:p>
          <w:p w:rsidR="00450E34" w:rsidRPr="00450E34" w:rsidRDefault="00450E34" w:rsidP="005E0405">
            <w:pPr>
              <w:rPr>
                <w:sz w:val="22"/>
                <w:u w:val="single"/>
              </w:rPr>
            </w:pPr>
            <w:r w:rsidRPr="00450E34">
              <w:rPr>
                <w:sz w:val="22"/>
                <w:u w:val="single"/>
              </w:rPr>
              <w:t>Beslutning:</w:t>
            </w:r>
          </w:p>
          <w:p w:rsidR="00E35C79" w:rsidRDefault="00E35C79" w:rsidP="005E0405">
            <w:pPr>
              <w:rPr>
                <w:sz w:val="22"/>
              </w:rPr>
            </w:pPr>
            <w:r>
              <w:rPr>
                <w:sz w:val="22"/>
              </w:rPr>
              <w:t xml:space="preserve">ExCom besluttet at sekretariatet fortsetter som nå </w:t>
            </w:r>
            <w:r w:rsidR="00616B56">
              <w:rPr>
                <w:sz w:val="22"/>
              </w:rPr>
              <w:t xml:space="preserve">- </w:t>
            </w:r>
            <w:r>
              <w:rPr>
                <w:sz w:val="22"/>
              </w:rPr>
              <w:t>å følge presidenten.</w:t>
            </w:r>
          </w:p>
          <w:p w:rsidR="009E38A6" w:rsidRPr="002375C6" w:rsidRDefault="009E38A6" w:rsidP="00E35C79">
            <w:pPr>
              <w:rPr>
                <w:sz w:val="22"/>
              </w:rPr>
            </w:pPr>
          </w:p>
        </w:tc>
      </w:tr>
      <w:tr w:rsidR="005E0405" w:rsidTr="005E0405">
        <w:tc>
          <w:tcPr>
            <w:tcW w:w="9062" w:type="dxa"/>
          </w:tcPr>
          <w:p w:rsidR="005E0405" w:rsidRPr="002375C6" w:rsidRDefault="000933B7" w:rsidP="005E0405">
            <w:pPr>
              <w:rPr>
                <w:b/>
                <w:i/>
                <w:sz w:val="22"/>
              </w:rPr>
            </w:pPr>
            <w:r>
              <w:rPr>
                <w:b/>
                <w:i/>
                <w:sz w:val="22"/>
              </w:rPr>
              <w:lastRenderedPageBreak/>
              <w:t>Sak 16 Valg av vice-chair til NSC Kultur og T</w:t>
            </w:r>
            <w:r w:rsidR="005E0405" w:rsidRPr="002375C6">
              <w:rPr>
                <w:b/>
                <w:i/>
                <w:sz w:val="22"/>
              </w:rPr>
              <w:t>urism</w:t>
            </w:r>
            <w:r>
              <w:rPr>
                <w:b/>
                <w:i/>
                <w:sz w:val="22"/>
              </w:rPr>
              <w:t>e Gr</w:t>
            </w:r>
            <w:r w:rsidR="005E0405" w:rsidRPr="002375C6">
              <w:rPr>
                <w:b/>
                <w:i/>
                <w:sz w:val="22"/>
              </w:rPr>
              <w:t>up</w:t>
            </w:r>
            <w:r>
              <w:rPr>
                <w:b/>
                <w:i/>
                <w:sz w:val="22"/>
              </w:rPr>
              <w:t>pe</w:t>
            </w:r>
          </w:p>
          <w:p w:rsidR="000933B7" w:rsidRDefault="000933B7" w:rsidP="005E0405">
            <w:pPr>
              <w:rPr>
                <w:sz w:val="22"/>
              </w:rPr>
            </w:pPr>
          </w:p>
          <w:p w:rsidR="006433F0" w:rsidRDefault="000933B7" w:rsidP="005E0405">
            <w:pPr>
              <w:rPr>
                <w:sz w:val="22"/>
              </w:rPr>
            </w:pPr>
            <w:r>
              <w:rPr>
                <w:sz w:val="22"/>
              </w:rPr>
              <w:t>En kandidat på valg.</w:t>
            </w:r>
          </w:p>
          <w:p w:rsidR="000933B7" w:rsidRDefault="000933B7" w:rsidP="000933B7">
            <w:pPr>
              <w:rPr>
                <w:sz w:val="22"/>
              </w:rPr>
            </w:pPr>
          </w:p>
          <w:p w:rsidR="00450E34" w:rsidRPr="00450E34" w:rsidRDefault="00450E34" w:rsidP="000933B7">
            <w:pPr>
              <w:rPr>
                <w:sz w:val="22"/>
                <w:u w:val="single"/>
              </w:rPr>
            </w:pPr>
            <w:r w:rsidRPr="00450E34">
              <w:rPr>
                <w:sz w:val="22"/>
                <w:u w:val="single"/>
              </w:rPr>
              <w:t>Beslutning:</w:t>
            </w:r>
          </w:p>
          <w:p w:rsidR="006433F0" w:rsidRPr="000933B7" w:rsidRDefault="000933B7" w:rsidP="000933B7">
            <w:pPr>
              <w:rPr>
                <w:sz w:val="22"/>
              </w:rPr>
            </w:pPr>
            <w:r>
              <w:rPr>
                <w:sz w:val="22"/>
              </w:rPr>
              <w:t xml:space="preserve">ExCom valgte folkevalgt </w:t>
            </w:r>
            <w:r w:rsidR="006433F0" w:rsidRPr="000933B7">
              <w:rPr>
                <w:sz w:val="22"/>
              </w:rPr>
              <w:t xml:space="preserve">Birgitta Adolfsson </w:t>
            </w:r>
            <w:r>
              <w:rPr>
                <w:sz w:val="22"/>
              </w:rPr>
              <w:t>(VGR) som ny</w:t>
            </w:r>
            <w:r w:rsidR="006433F0" w:rsidRPr="000933B7">
              <w:rPr>
                <w:sz w:val="22"/>
              </w:rPr>
              <w:t xml:space="preserve"> vice-chair</w:t>
            </w:r>
            <w:r>
              <w:rPr>
                <w:sz w:val="22"/>
              </w:rPr>
              <w:t>.</w:t>
            </w:r>
          </w:p>
          <w:p w:rsidR="006433F0" w:rsidRPr="006433F0" w:rsidRDefault="006433F0" w:rsidP="006433F0">
            <w:pPr>
              <w:ind w:left="360"/>
              <w:rPr>
                <w:sz w:val="22"/>
              </w:rPr>
            </w:pPr>
          </w:p>
        </w:tc>
      </w:tr>
      <w:tr w:rsidR="005E0405" w:rsidTr="005E0405">
        <w:tc>
          <w:tcPr>
            <w:tcW w:w="9062" w:type="dxa"/>
          </w:tcPr>
          <w:p w:rsidR="005E0405" w:rsidRPr="002375C6" w:rsidRDefault="000933B7" w:rsidP="005E0405">
            <w:pPr>
              <w:rPr>
                <w:b/>
                <w:i/>
                <w:sz w:val="22"/>
              </w:rPr>
            </w:pPr>
            <w:r>
              <w:rPr>
                <w:b/>
                <w:i/>
                <w:sz w:val="22"/>
              </w:rPr>
              <w:lastRenderedPageBreak/>
              <w:t>Sak 17 Valg av vice-chair til NSC Økonomisk Utviklings Gr</w:t>
            </w:r>
            <w:r w:rsidR="005E0405" w:rsidRPr="002375C6">
              <w:rPr>
                <w:b/>
                <w:i/>
                <w:sz w:val="22"/>
              </w:rPr>
              <w:t>up</w:t>
            </w:r>
            <w:r>
              <w:rPr>
                <w:b/>
                <w:i/>
                <w:sz w:val="22"/>
              </w:rPr>
              <w:t>pe</w:t>
            </w:r>
          </w:p>
          <w:p w:rsidR="000933B7" w:rsidRDefault="000933B7" w:rsidP="005E0405">
            <w:pPr>
              <w:rPr>
                <w:sz w:val="22"/>
              </w:rPr>
            </w:pPr>
          </w:p>
          <w:p w:rsidR="005E0405" w:rsidRDefault="00491F8B" w:rsidP="005E0405">
            <w:pPr>
              <w:rPr>
                <w:sz w:val="22"/>
              </w:rPr>
            </w:pPr>
            <w:r>
              <w:rPr>
                <w:sz w:val="22"/>
              </w:rPr>
              <w:t>En kandidat</w:t>
            </w:r>
            <w:r w:rsidR="000933B7">
              <w:rPr>
                <w:sz w:val="22"/>
              </w:rPr>
              <w:t xml:space="preserve"> på valg</w:t>
            </w:r>
            <w:r>
              <w:rPr>
                <w:sz w:val="22"/>
              </w:rPr>
              <w:t>.</w:t>
            </w:r>
          </w:p>
          <w:p w:rsidR="00491F8B" w:rsidRDefault="00491F8B" w:rsidP="005E0405">
            <w:pPr>
              <w:rPr>
                <w:sz w:val="22"/>
              </w:rPr>
            </w:pPr>
          </w:p>
          <w:p w:rsidR="00450E34" w:rsidRPr="00450E34" w:rsidRDefault="00450E34" w:rsidP="005E0405">
            <w:pPr>
              <w:rPr>
                <w:sz w:val="22"/>
                <w:u w:val="single"/>
              </w:rPr>
            </w:pPr>
            <w:r w:rsidRPr="00450E34">
              <w:rPr>
                <w:sz w:val="22"/>
                <w:u w:val="single"/>
              </w:rPr>
              <w:t>Beslutning:</w:t>
            </w:r>
          </w:p>
          <w:p w:rsidR="006433F0" w:rsidRPr="000933B7" w:rsidRDefault="000933B7" w:rsidP="000933B7">
            <w:pPr>
              <w:rPr>
                <w:sz w:val="22"/>
              </w:rPr>
            </w:pPr>
            <w:r>
              <w:rPr>
                <w:sz w:val="22"/>
              </w:rPr>
              <w:t>ExCom valgte folkevalgt</w:t>
            </w:r>
            <w:r w:rsidR="006433F0" w:rsidRPr="000933B7">
              <w:rPr>
                <w:sz w:val="22"/>
              </w:rPr>
              <w:t xml:space="preserve"> Patric Brouns </w:t>
            </w:r>
            <w:r>
              <w:rPr>
                <w:sz w:val="22"/>
              </w:rPr>
              <w:t>(No</w:t>
            </w:r>
            <w:r w:rsidR="00CE011F">
              <w:rPr>
                <w:sz w:val="22"/>
              </w:rPr>
              <w:t>rd-Neder</w:t>
            </w:r>
            <w:r>
              <w:rPr>
                <w:sz w:val="22"/>
              </w:rPr>
              <w:t>land) til ny</w:t>
            </w:r>
            <w:r w:rsidR="006433F0" w:rsidRPr="000933B7">
              <w:rPr>
                <w:sz w:val="22"/>
              </w:rPr>
              <w:t xml:space="preserve"> vice-chair</w:t>
            </w:r>
            <w:r>
              <w:rPr>
                <w:sz w:val="22"/>
              </w:rPr>
              <w:t>.</w:t>
            </w:r>
          </w:p>
          <w:p w:rsidR="006433F0" w:rsidRPr="006433F0" w:rsidRDefault="006433F0" w:rsidP="006433F0">
            <w:pPr>
              <w:ind w:left="360"/>
              <w:rPr>
                <w:sz w:val="22"/>
              </w:rPr>
            </w:pPr>
          </w:p>
        </w:tc>
      </w:tr>
      <w:tr w:rsidR="005E0405" w:rsidTr="005E0405">
        <w:tc>
          <w:tcPr>
            <w:tcW w:w="9062" w:type="dxa"/>
          </w:tcPr>
          <w:p w:rsidR="005E0405" w:rsidRPr="002375C6" w:rsidRDefault="001E201E" w:rsidP="005E0405">
            <w:pPr>
              <w:rPr>
                <w:b/>
                <w:i/>
                <w:sz w:val="22"/>
              </w:rPr>
            </w:pPr>
            <w:r>
              <w:rPr>
                <w:b/>
                <w:i/>
                <w:sz w:val="22"/>
              </w:rPr>
              <w:t xml:space="preserve">Sak 18 Forslag fra CPMR til nye hjemmeside </w:t>
            </w:r>
          </w:p>
          <w:p w:rsidR="001E201E" w:rsidRDefault="001E201E" w:rsidP="00ED0E9D">
            <w:pPr>
              <w:rPr>
                <w:sz w:val="22"/>
              </w:rPr>
            </w:pPr>
          </w:p>
          <w:p w:rsidR="00450E34" w:rsidRPr="00450E34" w:rsidRDefault="00450E34" w:rsidP="00ED0E9D">
            <w:pPr>
              <w:rPr>
                <w:sz w:val="22"/>
                <w:u w:val="single"/>
              </w:rPr>
            </w:pPr>
            <w:r w:rsidRPr="00450E34">
              <w:rPr>
                <w:sz w:val="22"/>
                <w:u w:val="single"/>
              </w:rPr>
              <w:t>I møtet 28.10:</w:t>
            </w:r>
          </w:p>
          <w:p w:rsidR="001E201E" w:rsidRDefault="001E201E" w:rsidP="00ED0E9D">
            <w:pPr>
              <w:rPr>
                <w:sz w:val="22"/>
              </w:rPr>
            </w:pPr>
            <w:r>
              <w:rPr>
                <w:sz w:val="22"/>
              </w:rPr>
              <w:t>Sekretariatet viste et utkast til hvordan hjemmesidene og mulig ny logo kan se ut.</w:t>
            </w:r>
          </w:p>
          <w:p w:rsidR="001E201E" w:rsidRDefault="001E201E" w:rsidP="00ED0E9D">
            <w:pPr>
              <w:rPr>
                <w:sz w:val="22"/>
              </w:rPr>
            </w:pPr>
          </w:p>
          <w:p w:rsidR="00450E34" w:rsidRPr="00450E34" w:rsidRDefault="00450E34" w:rsidP="00ED0E9D">
            <w:pPr>
              <w:rPr>
                <w:sz w:val="22"/>
                <w:u w:val="single"/>
              </w:rPr>
            </w:pPr>
            <w:r w:rsidRPr="00450E34">
              <w:rPr>
                <w:sz w:val="22"/>
                <w:u w:val="single"/>
              </w:rPr>
              <w:t>Beslutning:</w:t>
            </w:r>
          </w:p>
          <w:p w:rsidR="001E201E" w:rsidRDefault="001E201E" w:rsidP="00ED0E9D">
            <w:pPr>
              <w:rPr>
                <w:sz w:val="22"/>
              </w:rPr>
            </w:pPr>
            <w:r>
              <w:rPr>
                <w:sz w:val="22"/>
              </w:rPr>
              <w:t>ExCom besluttet å bli med på CPMR sine hjemmesider.</w:t>
            </w:r>
          </w:p>
          <w:p w:rsidR="001E201E" w:rsidRDefault="001E201E" w:rsidP="00ED0E9D">
            <w:pPr>
              <w:rPr>
                <w:sz w:val="22"/>
              </w:rPr>
            </w:pPr>
            <w:r>
              <w:rPr>
                <w:sz w:val="22"/>
              </w:rPr>
              <w:t>Presidentskapet får delegert myndighet til å ta beslutninger knyttet til ny hjemmeside og ny visuell profil mellom ExCom møtene.</w:t>
            </w:r>
          </w:p>
          <w:p w:rsidR="005002D6" w:rsidRPr="00ED0E9D" w:rsidRDefault="005002D6" w:rsidP="001E201E"/>
        </w:tc>
      </w:tr>
      <w:tr w:rsidR="005E0405" w:rsidTr="005E0405">
        <w:tc>
          <w:tcPr>
            <w:tcW w:w="9062" w:type="dxa"/>
            <w:shd w:val="clear" w:color="auto" w:fill="D9D9D9" w:themeFill="background1" w:themeFillShade="D9"/>
          </w:tcPr>
          <w:p w:rsidR="005E0405" w:rsidRDefault="005E0405" w:rsidP="005E0405">
            <w:pPr>
              <w:pStyle w:val="Overskrift2"/>
              <w:outlineLvl w:val="1"/>
            </w:pPr>
            <w:r>
              <w:t>Finances</w:t>
            </w:r>
          </w:p>
        </w:tc>
      </w:tr>
      <w:tr w:rsidR="005E0405" w:rsidTr="005E0405">
        <w:tc>
          <w:tcPr>
            <w:tcW w:w="9062" w:type="dxa"/>
          </w:tcPr>
          <w:p w:rsidR="005E0405" w:rsidRPr="002375C6" w:rsidRDefault="006432E1" w:rsidP="005E0405">
            <w:pPr>
              <w:rPr>
                <w:b/>
                <w:i/>
                <w:sz w:val="22"/>
              </w:rPr>
            </w:pPr>
            <w:r>
              <w:rPr>
                <w:b/>
                <w:i/>
                <w:sz w:val="22"/>
              </w:rPr>
              <w:t>Sak 19 Økonomisk status pr.</w:t>
            </w:r>
            <w:r w:rsidR="005E0405" w:rsidRPr="002375C6">
              <w:rPr>
                <w:b/>
                <w:i/>
                <w:sz w:val="22"/>
              </w:rPr>
              <w:t xml:space="preserve"> 31.08</w:t>
            </w:r>
          </w:p>
          <w:p w:rsidR="006432E1" w:rsidRDefault="006432E1" w:rsidP="006432E1"/>
          <w:p w:rsidR="006432E1" w:rsidRPr="006432E1" w:rsidRDefault="006432E1" w:rsidP="006432E1">
            <w:pPr>
              <w:rPr>
                <w:sz w:val="22"/>
              </w:rPr>
            </w:pPr>
            <w:r>
              <w:rPr>
                <w:sz w:val="22"/>
              </w:rPr>
              <w:t>Presidenten beklaget at det var kommet inn noen feil i den prognosen som var sendt ut. De riktige tallene vil bli sendt ut på nytt. Prognosen for året er et overskudd på EUR 6100</w:t>
            </w:r>
            <w:r w:rsidRPr="006432E1">
              <w:rPr>
                <w:sz w:val="22"/>
              </w:rPr>
              <w:t>.</w:t>
            </w:r>
          </w:p>
          <w:p w:rsidR="006432E1" w:rsidRPr="006432E1" w:rsidRDefault="006432E1" w:rsidP="006432E1">
            <w:pPr>
              <w:rPr>
                <w:sz w:val="22"/>
              </w:rPr>
            </w:pPr>
            <w:r>
              <w:rPr>
                <w:sz w:val="22"/>
              </w:rPr>
              <w:t xml:space="preserve">Man vil ikke ha behov for å </w:t>
            </w:r>
            <w:r w:rsidRPr="006432E1">
              <w:rPr>
                <w:sz w:val="22"/>
              </w:rPr>
              <w:t>bruke reserven for revisjon av strategien</w:t>
            </w:r>
            <w:r>
              <w:rPr>
                <w:sz w:val="22"/>
              </w:rPr>
              <w:t xml:space="preserve"> i 2015</w:t>
            </w:r>
            <w:r w:rsidRPr="006432E1">
              <w:rPr>
                <w:sz w:val="22"/>
              </w:rPr>
              <w:t>. D</w:t>
            </w:r>
            <w:r>
              <w:rPr>
                <w:sz w:val="22"/>
              </w:rPr>
              <w:t>a vil arbeidet bli dekket</w:t>
            </w:r>
            <w:r w:rsidRPr="006432E1">
              <w:rPr>
                <w:sz w:val="22"/>
              </w:rPr>
              <w:t xml:space="preserve"> av ordinært budsjett.</w:t>
            </w:r>
            <w:r>
              <w:rPr>
                <w:sz w:val="22"/>
              </w:rPr>
              <w:t xml:space="preserve"> Reserven vil bli benyttet i 2016.</w:t>
            </w:r>
          </w:p>
          <w:p w:rsidR="00A67F37" w:rsidRPr="008A3546" w:rsidRDefault="00A67F37" w:rsidP="006432E1">
            <w:pPr>
              <w:ind w:left="360"/>
            </w:pPr>
          </w:p>
        </w:tc>
      </w:tr>
      <w:tr w:rsidR="005E0405" w:rsidTr="005E0405">
        <w:tc>
          <w:tcPr>
            <w:tcW w:w="9062" w:type="dxa"/>
            <w:shd w:val="clear" w:color="auto" w:fill="D9D9D9" w:themeFill="background1" w:themeFillShade="D9"/>
          </w:tcPr>
          <w:p w:rsidR="005E0405" w:rsidRDefault="005E0405" w:rsidP="005E0405">
            <w:pPr>
              <w:pStyle w:val="Overskrift2"/>
              <w:outlineLvl w:val="1"/>
            </w:pPr>
            <w:r>
              <w:t>AOB</w:t>
            </w:r>
          </w:p>
        </w:tc>
      </w:tr>
      <w:tr w:rsidR="005E0405" w:rsidTr="005E0405">
        <w:tc>
          <w:tcPr>
            <w:tcW w:w="9062" w:type="dxa"/>
          </w:tcPr>
          <w:p w:rsidR="005E0405" w:rsidRPr="002375C6" w:rsidRDefault="005E0405" w:rsidP="002375C6">
            <w:pPr>
              <w:rPr>
                <w:b/>
                <w:i/>
                <w:sz w:val="22"/>
              </w:rPr>
            </w:pPr>
            <w:r w:rsidRPr="002375C6">
              <w:rPr>
                <w:b/>
                <w:i/>
                <w:sz w:val="22"/>
              </w:rPr>
              <w:t>Sak 20 European Maritime Day</w:t>
            </w:r>
          </w:p>
          <w:p w:rsidR="00135354" w:rsidRDefault="00135354" w:rsidP="002375C6">
            <w:pPr>
              <w:rPr>
                <w:sz w:val="22"/>
              </w:rPr>
            </w:pPr>
          </w:p>
          <w:p w:rsidR="00CC4A0B" w:rsidRPr="00450E34" w:rsidRDefault="00450E34" w:rsidP="002375C6">
            <w:pPr>
              <w:rPr>
                <w:sz w:val="22"/>
                <w:u w:val="single"/>
              </w:rPr>
            </w:pPr>
            <w:r w:rsidRPr="00450E34">
              <w:rPr>
                <w:sz w:val="22"/>
                <w:u w:val="single"/>
              </w:rPr>
              <w:t>Beslutning</w:t>
            </w:r>
            <w:r w:rsidR="00CC4A0B" w:rsidRPr="00450E34">
              <w:rPr>
                <w:sz w:val="22"/>
                <w:u w:val="single"/>
              </w:rPr>
              <w:t>:</w:t>
            </w:r>
          </w:p>
          <w:p w:rsidR="00CC4A0B" w:rsidRDefault="00CC4A0B" w:rsidP="00CC4A0B">
            <w:pPr>
              <w:pStyle w:val="Listeavsnitt"/>
              <w:numPr>
                <w:ilvl w:val="0"/>
                <w:numId w:val="36"/>
              </w:numPr>
              <w:rPr>
                <w:sz w:val="22"/>
              </w:rPr>
            </w:pPr>
            <w:r>
              <w:rPr>
                <w:sz w:val="22"/>
              </w:rPr>
              <w:t>å benytte Maritime Day 2016 som et viktig nettverks arrangement for å promotere Nordsjøkommisjonen</w:t>
            </w:r>
          </w:p>
          <w:p w:rsidR="00CC4A0B" w:rsidRDefault="00CC4A0B" w:rsidP="00CC4A0B">
            <w:pPr>
              <w:pStyle w:val="Listeavsnitt"/>
              <w:numPr>
                <w:ilvl w:val="0"/>
                <w:numId w:val="36"/>
              </w:numPr>
              <w:rPr>
                <w:sz w:val="22"/>
              </w:rPr>
            </w:pPr>
            <w:r>
              <w:rPr>
                <w:sz w:val="22"/>
              </w:rPr>
              <w:t>å delegere til sekretariatet å lage et forslag til workshop, alternativt et nettverks arrangement, hvis workshopen ikke blir godkjent</w:t>
            </w:r>
          </w:p>
          <w:p w:rsidR="00CC4A0B" w:rsidRPr="00CC4A0B" w:rsidRDefault="00CC4A0B" w:rsidP="00CC4A0B">
            <w:pPr>
              <w:pStyle w:val="Listeavsnitt"/>
              <w:numPr>
                <w:ilvl w:val="0"/>
                <w:numId w:val="36"/>
              </w:numPr>
              <w:rPr>
                <w:sz w:val="22"/>
              </w:rPr>
            </w:pPr>
            <w:r>
              <w:rPr>
                <w:sz w:val="22"/>
              </w:rPr>
              <w:t>å delegere til Presidentskapet å beslutte om workshop søknaden siden søknadsfristen er før neste ExCom møte</w:t>
            </w:r>
          </w:p>
          <w:p w:rsidR="00135354" w:rsidRPr="00CC4A0B" w:rsidRDefault="00135354" w:rsidP="00CC4A0B">
            <w:pPr>
              <w:rPr>
                <w:sz w:val="22"/>
              </w:rPr>
            </w:pPr>
          </w:p>
        </w:tc>
      </w:tr>
      <w:tr w:rsidR="005E0405" w:rsidTr="005E0405">
        <w:tc>
          <w:tcPr>
            <w:tcW w:w="9062" w:type="dxa"/>
          </w:tcPr>
          <w:p w:rsidR="005E0405" w:rsidRDefault="006E42E6" w:rsidP="001B7F18">
            <w:pPr>
              <w:rPr>
                <w:b/>
                <w:i/>
                <w:sz w:val="22"/>
              </w:rPr>
            </w:pPr>
            <w:r>
              <w:rPr>
                <w:b/>
                <w:i/>
                <w:sz w:val="22"/>
              </w:rPr>
              <w:t>Sak 21 Møte</w:t>
            </w:r>
            <w:r w:rsidR="005E0405" w:rsidRPr="002375C6">
              <w:rPr>
                <w:b/>
                <w:i/>
                <w:sz w:val="22"/>
              </w:rPr>
              <w:t xml:space="preserve"> plan 2015-2016</w:t>
            </w:r>
          </w:p>
          <w:p w:rsidR="00450E34" w:rsidRDefault="00450E34" w:rsidP="001B7F18">
            <w:pPr>
              <w:rPr>
                <w:sz w:val="22"/>
              </w:rPr>
            </w:pPr>
          </w:p>
          <w:p w:rsidR="00450E34" w:rsidRPr="00450E34" w:rsidRDefault="00450E34" w:rsidP="001B7F18">
            <w:pPr>
              <w:rPr>
                <w:sz w:val="22"/>
                <w:u w:val="single"/>
              </w:rPr>
            </w:pPr>
            <w:r w:rsidRPr="00450E34">
              <w:rPr>
                <w:sz w:val="22"/>
                <w:u w:val="single"/>
              </w:rPr>
              <w:t>Beslutning:</w:t>
            </w:r>
          </w:p>
          <w:p w:rsidR="001B7F18" w:rsidRDefault="006E42E6" w:rsidP="001B7F18">
            <w:pPr>
              <w:rPr>
                <w:sz w:val="22"/>
              </w:rPr>
            </w:pPr>
            <w:r>
              <w:rPr>
                <w:sz w:val="22"/>
              </w:rPr>
              <w:t>ExCom, 2. mars, Gøteborg, Sverige</w:t>
            </w:r>
          </w:p>
          <w:p w:rsidR="001B7F18" w:rsidRDefault="006E42E6" w:rsidP="001B7F18">
            <w:pPr>
              <w:rPr>
                <w:sz w:val="22"/>
              </w:rPr>
            </w:pPr>
            <w:r>
              <w:rPr>
                <w:sz w:val="22"/>
              </w:rPr>
              <w:t>GA, 15. -  17. juni</w:t>
            </w:r>
            <w:r w:rsidR="001B7F18">
              <w:rPr>
                <w:sz w:val="22"/>
              </w:rPr>
              <w:t>, Billund</w:t>
            </w:r>
            <w:r>
              <w:rPr>
                <w:sz w:val="22"/>
              </w:rPr>
              <w:t>, Danmark</w:t>
            </w:r>
          </w:p>
          <w:p w:rsidR="001B7F18" w:rsidRPr="001B7F18" w:rsidRDefault="006E42E6" w:rsidP="001B7F18">
            <w:pPr>
              <w:rPr>
                <w:sz w:val="22"/>
              </w:rPr>
            </w:pPr>
            <w:r>
              <w:rPr>
                <w:sz w:val="22"/>
              </w:rPr>
              <w:t>ExCom, 21. oktober, Brussel, Belgia</w:t>
            </w:r>
          </w:p>
          <w:p w:rsidR="001B7F18" w:rsidRDefault="001B7F18" w:rsidP="005E0405">
            <w:pPr>
              <w:rPr>
                <w:sz w:val="22"/>
              </w:rPr>
            </w:pPr>
          </w:p>
          <w:p w:rsidR="001B7F18" w:rsidRDefault="006E42E6" w:rsidP="006E42E6">
            <w:pPr>
              <w:rPr>
                <w:sz w:val="22"/>
              </w:rPr>
            </w:pPr>
            <w:r>
              <w:rPr>
                <w:sz w:val="22"/>
              </w:rPr>
              <w:t>Informasjonen ble tatt til orientering.</w:t>
            </w:r>
          </w:p>
          <w:p w:rsidR="006E42E6" w:rsidRPr="006E42E6" w:rsidRDefault="006E42E6" w:rsidP="006E42E6">
            <w:pPr>
              <w:rPr>
                <w:sz w:val="22"/>
              </w:rPr>
            </w:pPr>
          </w:p>
        </w:tc>
      </w:tr>
      <w:tr w:rsidR="005E0405" w:rsidTr="005E0405">
        <w:tc>
          <w:tcPr>
            <w:tcW w:w="9062" w:type="dxa"/>
          </w:tcPr>
          <w:p w:rsidR="005E0405" w:rsidRPr="002375C6" w:rsidRDefault="005E0405" w:rsidP="005E0405">
            <w:pPr>
              <w:rPr>
                <w:b/>
                <w:i/>
                <w:sz w:val="22"/>
              </w:rPr>
            </w:pPr>
            <w:r w:rsidRPr="002375C6">
              <w:rPr>
                <w:b/>
                <w:i/>
                <w:sz w:val="22"/>
              </w:rPr>
              <w:t>Sak 22 Additional issues</w:t>
            </w:r>
          </w:p>
          <w:p w:rsidR="005E0405" w:rsidRDefault="005E0405" w:rsidP="005E0405">
            <w:pPr>
              <w:rPr>
                <w:sz w:val="22"/>
              </w:rPr>
            </w:pPr>
          </w:p>
          <w:p w:rsidR="006E42E6" w:rsidRDefault="006E42E6" w:rsidP="005E0405">
            <w:pPr>
              <w:rPr>
                <w:sz w:val="22"/>
              </w:rPr>
            </w:pPr>
            <w:r>
              <w:rPr>
                <w:sz w:val="22"/>
              </w:rPr>
              <w:t>Ingen.</w:t>
            </w:r>
          </w:p>
          <w:p w:rsidR="006E42E6" w:rsidRPr="002375C6" w:rsidRDefault="006E42E6" w:rsidP="005E0405">
            <w:pPr>
              <w:rPr>
                <w:sz w:val="22"/>
              </w:rPr>
            </w:pPr>
          </w:p>
        </w:tc>
      </w:tr>
      <w:tr w:rsidR="005E1DEF" w:rsidTr="005E0405">
        <w:tc>
          <w:tcPr>
            <w:tcW w:w="9062" w:type="dxa"/>
          </w:tcPr>
          <w:p w:rsidR="005E1DEF" w:rsidRDefault="005E1DEF" w:rsidP="005E0405">
            <w:pPr>
              <w:rPr>
                <w:b/>
                <w:i/>
                <w:sz w:val="22"/>
              </w:rPr>
            </w:pPr>
            <w:r>
              <w:rPr>
                <w:b/>
                <w:i/>
                <w:sz w:val="22"/>
              </w:rPr>
              <w:lastRenderedPageBreak/>
              <w:t>Rapportør</w:t>
            </w:r>
            <w:r w:rsidR="00450E34">
              <w:rPr>
                <w:b/>
                <w:i/>
                <w:sz w:val="22"/>
              </w:rPr>
              <w:t>er</w:t>
            </w:r>
          </w:p>
          <w:p w:rsidR="005E1DEF" w:rsidRDefault="005E1DEF" w:rsidP="005E0405">
            <w:pPr>
              <w:rPr>
                <w:b/>
                <w:i/>
                <w:sz w:val="22"/>
              </w:rPr>
            </w:pPr>
          </w:p>
          <w:p w:rsidR="00450E34" w:rsidRPr="005E1DEF" w:rsidRDefault="00450E34" w:rsidP="005E0405">
            <w:pPr>
              <w:rPr>
                <w:sz w:val="22"/>
              </w:rPr>
            </w:pPr>
            <w:r>
              <w:rPr>
                <w:sz w:val="22"/>
              </w:rPr>
              <w:t>Jon Halvard Eide, Vest-Agder fylkeskommune</w:t>
            </w:r>
          </w:p>
          <w:p w:rsidR="00450E34" w:rsidRDefault="00450E34" w:rsidP="00450E34">
            <w:pPr>
              <w:rPr>
                <w:sz w:val="22"/>
              </w:rPr>
            </w:pPr>
            <w:r w:rsidRPr="005E1DEF">
              <w:rPr>
                <w:sz w:val="22"/>
              </w:rPr>
              <w:t>Kjersti Garberg, Østfold fylkeskommune</w:t>
            </w:r>
          </w:p>
          <w:p w:rsidR="00450E34" w:rsidRDefault="00450E34" w:rsidP="005E0405">
            <w:pPr>
              <w:rPr>
                <w:sz w:val="22"/>
              </w:rPr>
            </w:pPr>
          </w:p>
          <w:p w:rsidR="005E1DEF" w:rsidRPr="00450E34" w:rsidRDefault="00450E34" w:rsidP="005E0405">
            <w:pPr>
              <w:rPr>
                <w:sz w:val="22"/>
              </w:rPr>
            </w:pPr>
            <w:r>
              <w:rPr>
                <w:sz w:val="22"/>
              </w:rPr>
              <w:t>2. november 2015</w:t>
            </w:r>
          </w:p>
          <w:p w:rsidR="005E1DEF" w:rsidRPr="002375C6" w:rsidRDefault="005E1DEF" w:rsidP="005E0405">
            <w:pPr>
              <w:rPr>
                <w:b/>
                <w:i/>
                <w:sz w:val="22"/>
              </w:rPr>
            </w:pPr>
          </w:p>
        </w:tc>
      </w:tr>
    </w:tbl>
    <w:p w:rsidR="005E0405" w:rsidRDefault="005E0405"/>
    <w:p w:rsidR="004501C8" w:rsidRDefault="004501C8"/>
    <w:p w:rsidR="00354746" w:rsidRDefault="00354746"/>
    <w:p w:rsidR="00354746" w:rsidRDefault="00354746"/>
    <w:p w:rsidR="00354746" w:rsidRDefault="00354746"/>
    <w:p w:rsidR="004501C8" w:rsidRDefault="004501C8"/>
    <w:p w:rsidR="00D5416D" w:rsidRDefault="00D5416D" w:rsidP="004501C8"/>
    <w:p w:rsidR="00D5416D" w:rsidRDefault="00D5416D" w:rsidP="00D5416D"/>
    <w:p w:rsidR="00D5416D" w:rsidRDefault="00D5416D" w:rsidP="00D5416D"/>
    <w:p w:rsidR="004501C8" w:rsidRDefault="004501C8"/>
    <w:sectPr w:rsidR="004501C8" w:rsidSect="0054302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B4" w:rsidRDefault="00181CB4" w:rsidP="006F17EF">
      <w:r>
        <w:separator/>
      </w:r>
    </w:p>
  </w:endnote>
  <w:endnote w:type="continuationSeparator" w:id="0">
    <w:p w:rsidR="00181CB4" w:rsidRDefault="00181CB4" w:rsidP="006F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35849"/>
      <w:docPartObj>
        <w:docPartGallery w:val="Page Numbers (Bottom of Page)"/>
        <w:docPartUnique/>
      </w:docPartObj>
    </w:sdtPr>
    <w:sdtEndPr/>
    <w:sdtContent>
      <w:p w:rsidR="00F0753F" w:rsidRDefault="00F0753F">
        <w:pPr>
          <w:pStyle w:val="Bunntekst"/>
          <w:jc w:val="right"/>
        </w:pPr>
        <w:r>
          <w:fldChar w:fldCharType="begin"/>
        </w:r>
        <w:r>
          <w:instrText>PAGE   \* MERGEFORMAT</w:instrText>
        </w:r>
        <w:r>
          <w:fldChar w:fldCharType="separate"/>
        </w:r>
        <w:r w:rsidR="00B81E1D">
          <w:rPr>
            <w:noProof/>
          </w:rPr>
          <w:t>1</w:t>
        </w:r>
        <w:r>
          <w:fldChar w:fldCharType="end"/>
        </w:r>
      </w:p>
    </w:sdtContent>
  </w:sdt>
  <w:p w:rsidR="00F0753F" w:rsidRDefault="00F0753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B4" w:rsidRDefault="00181CB4" w:rsidP="006F17EF">
      <w:r>
        <w:separator/>
      </w:r>
    </w:p>
  </w:footnote>
  <w:footnote w:type="continuationSeparator" w:id="0">
    <w:p w:rsidR="00181CB4" w:rsidRDefault="00181CB4" w:rsidP="006F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447"/>
    <w:multiLevelType w:val="hybridMultilevel"/>
    <w:tmpl w:val="445034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07056BA"/>
    <w:multiLevelType w:val="hybridMultilevel"/>
    <w:tmpl w:val="D760100E"/>
    <w:lvl w:ilvl="0" w:tplc="7B9EEBCC">
      <w:start w:val="13"/>
      <w:numFmt w:val="bullet"/>
      <w:lvlText w:val="-"/>
      <w:lvlJc w:val="left"/>
      <w:pPr>
        <w:ind w:left="1065" w:hanging="705"/>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151E57C1"/>
    <w:multiLevelType w:val="hybridMultilevel"/>
    <w:tmpl w:val="475E61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693461F"/>
    <w:multiLevelType w:val="hybridMultilevel"/>
    <w:tmpl w:val="655CE622"/>
    <w:lvl w:ilvl="0" w:tplc="B8B21AD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7DD3FDF"/>
    <w:multiLevelType w:val="hybridMultilevel"/>
    <w:tmpl w:val="382A00C4"/>
    <w:lvl w:ilvl="0" w:tplc="3326AAAC">
      <w:start w:val="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9405AF0"/>
    <w:multiLevelType w:val="hybridMultilevel"/>
    <w:tmpl w:val="F208A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C2B44C5"/>
    <w:multiLevelType w:val="hybridMultilevel"/>
    <w:tmpl w:val="14DA57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2E7C00F0"/>
    <w:multiLevelType w:val="hybridMultilevel"/>
    <w:tmpl w:val="479C9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6C56B93"/>
    <w:multiLevelType w:val="hybridMultilevel"/>
    <w:tmpl w:val="8CF2AC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82B13EF"/>
    <w:multiLevelType w:val="hybridMultilevel"/>
    <w:tmpl w:val="CCCC2A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9BF2564"/>
    <w:multiLevelType w:val="hybridMultilevel"/>
    <w:tmpl w:val="8DC06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C350CCD"/>
    <w:multiLevelType w:val="hybridMultilevel"/>
    <w:tmpl w:val="7EB0BD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D465457"/>
    <w:multiLevelType w:val="hybridMultilevel"/>
    <w:tmpl w:val="394C66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09028A6"/>
    <w:multiLevelType w:val="hybridMultilevel"/>
    <w:tmpl w:val="6E727D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6392931"/>
    <w:multiLevelType w:val="hybridMultilevel"/>
    <w:tmpl w:val="0444DE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4A6C602B"/>
    <w:multiLevelType w:val="hybridMultilevel"/>
    <w:tmpl w:val="9A9840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0B74D00"/>
    <w:multiLevelType w:val="hybridMultilevel"/>
    <w:tmpl w:val="AD3EAC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76E6C58"/>
    <w:multiLevelType w:val="hybridMultilevel"/>
    <w:tmpl w:val="028879F4"/>
    <w:lvl w:ilvl="0" w:tplc="F3B2989C">
      <w:start w:val="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8DE7677"/>
    <w:multiLevelType w:val="hybridMultilevel"/>
    <w:tmpl w:val="ADB202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8F43FB3"/>
    <w:multiLevelType w:val="hybridMultilevel"/>
    <w:tmpl w:val="51F454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B7675DB"/>
    <w:multiLevelType w:val="hybridMultilevel"/>
    <w:tmpl w:val="5A420B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5BE64D5D"/>
    <w:multiLevelType w:val="hybridMultilevel"/>
    <w:tmpl w:val="DDA0C0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0EE668A"/>
    <w:multiLevelType w:val="hybridMultilevel"/>
    <w:tmpl w:val="1C9AB4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0FB3E0C"/>
    <w:multiLevelType w:val="hybridMultilevel"/>
    <w:tmpl w:val="761817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1BA7170"/>
    <w:multiLevelType w:val="hybridMultilevel"/>
    <w:tmpl w:val="3C0AB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4393A1A"/>
    <w:multiLevelType w:val="hybridMultilevel"/>
    <w:tmpl w:val="07AE07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72D02C1"/>
    <w:multiLevelType w:val="hybridMultilevel"/>
    <w:tmpl w:val="B240EE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6AD95C0E"/>
    <w:multiLevelType w:val="hybridMultilevel"/>
    <w:tmpl w:val="409C00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F640C61"/>
    <w:multiLevelType w:val="hybridMultilevel"/>
    <w:tmpl w:val="805841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5330112"/>
    <w:multiLevelType w:val="hybridMultilevel"/>
    <w:tmpl w:val="74881F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76B5438A"/>
    <w:multiLevelType w:val="hybridMultilevel"/>
    <w:tmpl w:val="CC30C5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77E0018"/>
    <w:multiLevelType w:val="hybridMultilevel"/>
    <w:tmpl w:val="FF6A39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79F21E63"/>
    <w:multiLevelType w:val="hybridMultilevel"/>
    <w:tmpl w:val="512EC2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7B5F3A2F"/>
    <w:multiLevelType w:val="hybridMultilevel"/>
    <w:tmpl w:val="C608C4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7DCA04AC"/>
    <w:multiLevelType w:val="hybridMultilevel"/>
    <w:tmpl w:val="784801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E8E72A7"/>
    <w:multiLevelType w:val="hybridMultilevel"/>
    <w:tmpl w:val="31B42A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
  </w:num>
  <w:num w:numId="3">
    <w:abstractNumId w:val="10"/>
  </w:num>
  <w:num w:numId="4">
    <w:abstractNumId w:val="2"/>
  </w:num>
  <w:num w:numId="5">
    <w:abstractNumId w:val="16"/>
  </w:num>
  <w:num w:numId="6">
    <w:abstractNumId w:val="26"/>
  </w:num>
  <w:num w:numId="7">
    <w:abstractNumId w:val="27"/>
  </w:num>
  <w:num w:numId="8">
    <w:abstractNumId w:val="33"/>
  </w:num>
  <w:num w:numId="9">
    <w:abstractNumId w:val="19"/>
  </w:num>
  <w:num w:numId="10">
    <w:abstractNumId w:val="28"/>
  </w:num>
  <w:num w:numId="11">
    <w:abstractNumId w:val="13"/>
  </w:num>
  <w:num w:numId="12">
    <w:abstractNumId w:val="8"/>
  </w:num>
  <w:num w:numId="13">
    <w:abstractNumId w:val="34"/>
  </w:num>
  <w:num w:numId="14">
    <w:abstractNumId w:val="29"/>
  </w:num>
  <w:num w:numId="15">
    <w:abstractNumId w:val="25"/>
  </w:num>
  <w:num w:numId="16">
    <w:abstractNumId w:val="15"/>
  </w:num>
  <w:num w:numId="17">
    <w:abstractNumId w:val="21"/>
  </w:num>
  <w:num w:numId="18">
    <w:abstractNumId w:val="18"/>
  </w:num>
  <w:num w:numId="19">
    <w:abstractNumId w:val="22"/>
  </w:num>
  <w:num w:numId="20">
    <w:abstractNumId w:val="23"/>
  </w:num>
  <w:num w:numId="21">
    <w:abstractNumId w:val="11"/>
  </w:num>
  <w:num w:numId="22">
    <w:abstractNumId w:val="0"/>
  </w:num>
  <w:num w:numId="23">
    <w:abstractNumId w:val="31"/>
  </w:num>
  <w:num w:numId="24">
    <w:abstractNumId w:val="32"/>
  </w:num>
  <w:num w:numId="25">
    <w:abstractNumId w:val="30"/>
  </w:num>
  <w:num w:numId="26">
    <w:abstractNumId w:val="35"/>
  </w:num>
  <w:num w:numId="27">
    <w:abstractNumId w:val="24"/>
  </w:num>
  <w:num w:numId="28">
    <w:abstractNumId w:val="3"/>
  </w:num>
  <w:num w:numId="29">
    <w:abstractNumId w:val="5"/>
  </w:num>
  <w:num w:numId="30">
    <w:abstractNumId w:val="9"/>
  </w:num>
  <w:num w:numId="31">
    <w:abstractNumId w:val="7"/>
  </w:num>
  <w:num w:numId="32">
    <w:abstractNumId w:val="20"/>
  </w:num>
  <w:num w:numId="33">
    <w:abstractNumId w:val="6"/>
  </w:num>
  <w:num w:numId="34">
    <w:abstractNumId w:val="4"/>
  </w:num>
  <w:num w:numId="35">
    <w:abstractNumId w:val="17"/>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C8"/>
    <w:rsid w:val="00013D8D"/>
    <w:rsid w:val="00041137"/>
    <w:rsid w:val="000777BD"/>
    <w:rsid w:val="000933B7"/>
    <w:rsid w:val="000A12F6"/>
    <w:rsid w:val="000A7817"/>
    <w:rsid w:val="000B1C99"/>
    <w:rsid w:val="00117B13"/>
    <w:rsid w:val="00123202"/>
    <w:rsid w:val="00135354"/>
    <w:rsid w:val="001534CA"/>
    <w:rsid w:val="00155A4B"/>
    <w:rsid w:val="00172302"/>
    <w:rsid w:val="001768C7"/>
    <w:rsid w:val="00181CB4"/>
    <w:rsid w:val="001A23EC"/>
    <w:rsid w:val="001A3C7A"/>
    <w:rsid w:val="001B0BB2"/>
    <w:rsid w:val="001B7F18"/>
    <w:rsid w:val="001E201E"/>
    <w:rsid w:val="001F310E"/>
    <w:rsid w:val="0023217C"/>
    <w:rsid w:val="002375C6"/>
    <w:rsid w:val="002410A0"/>
    <w:rsid w:val="0024597F"/>
    <w:rsid w:val="002900D2"/>
    <w:rsid w:val="002B1B83"/>
    <w:rsid w:val="002C0E1C"/>
    <w:rsid w:val="002C6593"/>
    <w:rsid w:val="003245E7"/>
    <w:rsid w:val="00332DF6"/>
    <w:rsid w:val="0035190E"/>
    <w:rsid w:val="00353961"/>
    <w:rsid w:val="00354746"/>
    <w:rsid w:val="00372B85"/>
    <w:rsid w:val="00372D46"/>
    <w:rsid w:val="00376FEF"/>
    <w:rsid w:val="0038511A"/>
    <w:rsid w:val="003B0DF7"/>
    <w:rsid w:val="003D4A57"/>
    <w:rsid w:val="0044301E"/>
    <w:rsid w:val="004501C8"/>
    <w:rsid w:val="00450E34"/>
    <w:rsid w:val="00470A30"/>
    <w:rsid w:val="00474056"/>
    <w:rsid w:val="00476D6A"/>
    <w:rsid w:val="00491F8B"/>
    <w:rsid w:val="004D0DAE"/>
    <w:rsid w:val="005002D6"/>
    <w:rsid w:val="00501906"/>
    <w:rsid w:val="00523631"/>
    <w:rsid w:val="00533686"/>
    <w:rsid w:val="00543022"/>
    <w:rsid w:val="00544E5C"/>
    <w:rsid w:val="00547A3E"/>
    <w:rsid w:val="00565946"/>
    <w:rsid w:val="00584152"/>
    <w:rsid w:val="00593F22"/>
    <w:rsid w:val="005A77EF"/>
    <w:rsid w:val="005C012D"/>
    <w:rsid w:val="005D5D0B"/>
    <w:rsid w:val="005E0405"/>
    <w:rsid w:val="005E1DEF"/>
    <w:rsid w:val="006011F3"/>
    <w:rsid w:val="00616B56"/>
    <w:rsid w:val="006432E1"/>
    <w:rsid w:val="006433F0"/>
    <w:rsid w:val="006556A3"/>
    <w:rsid w:val="00660A9B"/>
    <w:rsid w:val="00660BE4"/>
    <w:rsid w:val="006625AC"/>
    <w:rsid w:val="00687DB8"/>
    <w:rsid w:val="006A7C96"/>
    <w:rsid w:val="006C5B09"/>
    <w:rsid w:val="006D3BAF"/>
    <w:rsid w:val="006E069F"/>
    <w:rsid w:val="006E42E6"/>
    <w:rsid w:val="006F17EF"/>
    <w:rsid w:val="00705E2E"/>
    <w:rsid w:val="00720359"/>
    <w:rsid w:val="007605A6"/>
    <w:rsid w:val="007C2DEA"/>
    <w:rsid w:val="008659F7"/>
    <w:rsid w:val="00892331"/>
    <w:rsid w:val="008A3546"/>
    <w:rsid w:val="008C547D"/>
    <w:rsid w:val="008D048A"/>
    <w:rsid w:val="008D70BC"/>
    <w:rsid w:val="008D7FD7"/>
    <w:rsid w:val="0094026E"/>
    <w:rsid w:val="009532A3"/>
    <w:rsid w:val="00963926"/>
    <w:rsid w:val="009650CE"/>
    <w:rsid w:val="00990AF1"/>
    <w:rsid w:val="00994088"/>
    <w:rsid w:val="009E38A6"/>
    <w:rsid w:val="009F05EF"/>
    <w:rsid w:val="009F0FB3"/>
    <w:rsid w:val="00A02788"/>
    <w:rsid w:val="00A2454B"/>
    <w:rsid w:val="00A61450"/>
    <w:rsid w:val="00A67F37"/>
    <w:rsid w:val="00A73C9E"/>
    <w:rsid w:val="00A8489F"/>
    <w:rsid w:val="00A916B7"/>
    <w:rsid w:val="00A94DE9"/>
    <w:rsid w:val="00AB2658"/>
    <w:rsid w:val="00AC1949"/>
    <w:rsid w:val="00B16F80"/>
    <w:rsid w:val="00B23EF1"/>
    <w:rsid w:val="00B4351F"/>
    <w:rsid w:val="00B43BCE"/>
    <w:rsid w:val="00B61FDD"/>
    <w:rsid w:val="00B81E1D"/>
    <w:rsid w:val="00B924E6"/>
    <w:rsid w:val="00B96879"/>
    <w:rsid w:val="00BB7ABB"/>
    <w:rsid w:val="00BD0AD3"/>
    <w:rsid w:val="00BE2324"/>
    <w:rsid w:val="00BF059C"/>
    <w:rsid w:val="00BF4EA6"/>
    <w:rsid w:val="00C26320"/>
    <w:rsid w:val="00C353E6"/>
    <w:rsid w:val="00C36080"/>
    <w:rsid w:val="00C45962"/>
    <w:rsid w:val="00C7492B"/>
    <w:rsid w:val="00CA37BC"/>
    <w:rsid w:val="00CA411E"/>
    <w:rsid w:val="00CB19A6"/>
    <w:rsid w:val="00CB72E3"/>
    <w:rsid w:val="00CB7CEE"/>
    <w:rsid w:val="00CC4A0B"/>
    <w:rsid w:val="00CD2877"/>
    <w:rsid w:val="00CE011F"/>
    <w:rsid w:val="00CF1B7F"/>
    <w:rsid w:val="00D10C91"/>
    <w:rsid w:val="00D266CA"/>
    <w:rsid w:val="00D5416D"/>
    <w:rsid w:val="00D80B6D"/>
    <w:rsid w:val="00D819B1"/>
    <w:rsid w:val="00DE09CF"/>
    <w:rsid w:val="00E35C79"/>
    <w:rsid w:val="00E87CE1"/>
    <w:rsid w:val="00EB77D9"/>
    <w:rsid w:val="00EC61A0"/>
    <w:rsid w:val="00ED0E9D"/>
    <w:rsid w:val="00ED352D"/>
    <w:rsid w:val="00EE4CAC"/>
    <w:rsid w:val="00EF5FD0"/>
    <w:rsid w:val="00EF7901"/>
    <w:rsid w:val="00F0753F"/>
    <w:rsid w:val="00F1585B"/>
    <w:rsid w:val="00F230AD"/>
    <w:rsid w:val="00F67C7B"/>
    <w:rsid w:val="00FC5EA2"/>
    <w:rsid w:val="00FD4C54"/>
    <w:rsid w:val="00FD741B"/>
    <w:rsid w:val="00FE49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A6"/>
    <w:pPr>
      <w:spacing w:after="0" w:line="240" w:lineRule="auto"/>
    </w:pPr>
    <w:rPr>
      <w:sz w:val="24"/>
    </w:rPr>
  </w:style>
  <w:style w:type="paragraph" w:styleId="Overskrift1">
    <w:name w:val="heading 1"/>
    <w:basedOn w:val="Normal"/>
    <w:next w:val="Normal"/>
    <w:link w:val="Overskrift1Tegn"/>
    <w:uiPriority w:val="9"/>
    <w:qFormat/>
    <w:rsid w:val="00CB19A6"/>
    <w:pPr>
      <w:keepNext/>
      <w:keepLines/>
      <w:spacing w:before="60" w:after="6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unhideWhenUsed/>
    <w:qFormat/>
    <w:rsid w:val="00CB19A6"/>
    <w:pPr>
      <w:keepNext/>
      <w:keepLines/>
      <w:spacing w:before="60" w:after="60"/>
      <w:outlineLvl w:val="1"/>
    </w:pPr>
    <w:rPr>
      <w:rFonts w:asciiTheme="majorHAnsi" w:eastAsiaTheme="majorEastAsia" w:hAnsiTheme="majorHAnsi" w:cstheme="majorBidi"/>
      <w:b/>
      <w:bCs/>
      <w:sz w:val="28"/>
      <w:szCs w:val="26"/>
    </w:rPr>
  </w:style>
  <w:style w:type="paragraph" w:styleId="Overskrift3">
    <w:name w:val="heading 3"/>
    <w:basedOn w:val="Normal"/>
    <w:next w:val="Normal"/>
    <w:link w:val="Overskrift3Tegn"/>
    <w:uiPriority w:val="9"/>
    <w:semiHidden/>
    <w:unhideWhenUsed/>
    <w:qFormat/>
    <w:rsid w:val="00CB19A6"/>
    <w:pPr>
      <w:keepNext/>
      <w:keepLines/>
      <w:spacing w:before="60" w:after="6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CB19A6"/>
    <w:pPr>
      <w:keepNext/>
      <w:keepLines/>
      <w:spacing w:before="60" w:after="60"/>
      <w:outlineLvl w:val="3"/>
    </w:pPr>
    <w:rPr>
      <w:rFonts w:asciiTheme="majorHAnsi" w:eastAsiaTheme="majorEastAsia" w:hAnsiTheme="majorHAnsi" w:cstheme="majorBidi"/>
      <w:b/>
      <w:bCs/>
      <w:iCs/>
      <w:sz w:val="22"/>
    </w:rPr>
  </w:style>
  <w:style w:type="paragraph" w:styleId="Overskrift5">
    <w:name w:val="heading 5"/>
    <w:basedOn w:val="Normal"/>
    <w:next w:val="Normal"/>
    <w:link w:val="Overskrift5Tegn"/>
    <w:uiPriority w:val="9"/>
    <w:semiHidden/>
    <w:unhideWhenUsed/>
    <w:qFormat/>
    <w:rsid w:val="00CB19A6"/>
    <w:pPr>
      <w:keepNext/>
      <w:keepLines/>
      <w:spacing w:before="200"/>
      <w:outlineLvl w:val="4"/>
    </w:pPr>
    <w:rPr>
      <w:rFonts w:asciiTheme="majorHAnsi" w:eastAsiaTheme="majorEastAsia" w:hAnsiTheme="majorHAnsi" w:cstheme="majorBidi"/>
      <w:sz w:val="22"/>
    </w:rPr>
  </w:style>
  <w:style w:type="paragraph" w:styleId="Overskrift6">
    <w:name w:val="heading 6"/>
    <w:basedOn w:val="Normal"/>
    <w:next w:val="Normal"/>
    <w:link w:val="Overskrift6Tegn"/>
    <w:uiPriority w:val="9"/>
    <w:semiHidden/>
    <w:unhideWhenUsed/>
    <w:qFormat/>
    <w:rsid w:val="00CB19A6"/>
    <w:pPr>
      <w:keepNext/>
      <w:keepLines/>
      <w:spacing w:before="200"/>
      <w:outlineLvl w:val="5"/>
    </w:pPr>
    <w:rPr>
      <w:rFonts w:asciiTheme="majorHAnsi" w:eastAsiaTheme="majorEastAsia" w:hAnsiTheme="majorHAnsi" w:cstheme="majorBidi"/>
      <w:i/>
      <w:iCs/>
      <w:sz w:val="22"/>
    </w:rPr>
  </w:style>
  <w:style w:type="paragraph" w:styleId="Overskrift7">
    <w:name w:val="heading 7"/>
    <w:basedOn w:val="Normal"/>
    <w:next w:val="Normal"/>
    <w:link w:val="Overskrift7Tegn"/>
    <w:uiPriority w:val="9"/>
    <w:semiHidden/>
    <w:unhideWhenUsed/>
    <w:qFormat/>
    <w:rsid w:val="00CB19A6"/>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Overskrift8">
    <w:name w:val="heading 8"/>
    <w:basedOn w:val="Normal"/>
    <w:next w:val="Normal"/>
    <w:link w:val="Overskrift8Tegn"/>
    <w:uiPriority w:val="9"/>
    <w:semiHidden/>
    <w:unhideWhenUsed/>
    <w:qFormat/>
    <w:rsid w:val="00CB19A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B19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B19A6"/>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CB19A6"/>
    <w:rPr>
      <w:rFonts w:asciiTheme="majorHAnsi" w:eastAsiaTheme="majorEastAsia" w:hAnsiTheme="majorHAnsi" w:cstheme="majorBidi"/>
      <w:b/>
      <w:bCs/>
      <w:sz w:val="28"/>
      <w:szCs w:val="26"/>
    </w:rPr>
  </w:style>
  <w:style w:type="character" w:customStyle="1" w:styleId="Overskrift3Tegn">
    <w:name w:val="Overskrift 3 Tegn"/>
    <w:basedOn w:val="Standardskriftforavsnitt"/>
    <w:link w:val="Overskrift3"/>
    <w:uiPriority w:val="9"/>
    <w:semiHidden/>
    <w:rsid w:val="00CB19A6"/>
    <w:rPr>
      <w:rFonts w:asciiTheme="majorHAnsi" w:eastAsiaTheme="majorEastAsia" w:hAnsiTheme="majorHAnsi" w:cstheme="majorBidi"/>
      <w:b/>
      <w:bCs/>
      <w:sz w:val="24"/>
    </w:rPr>
  </w:style>
  <w:style w:type="character" w:customStyle="1" w:styleId="Overskrift4Tegn">
    <w:name w:val="Overskrift 4 Tegn"/>
    <w:basedOn w:val="Standardskriftforavsnitt"/>
    <w:link w:val="Overskrift4"/>
    <w:uiPriority w:val="9"/>
    <w:semiHidden/>
    <w:rsid w:val="00CB19A6"/>
    <w:rPr>
      <w:rFonts w:asciiTheme="majorHAnsi" w:eastAsiaTheme="majorEastAsia" w:hAnsiTheme="majorHAnsi" w:cstheme="majorBidi"/>
      <w:b/>
      <w:bCs/>
      <w:iCs/>
    </w:rPr>
  </w:style>
  <w:style w:type="character" w:customStyle="1" w:styleId="Overskrift5Tegn">
    <w:name w:val="Overskrift 5 Tegn"/>
    <w:basedOn w:val="Standardskriftforavsnitt"/>
    <w:link w:val="Overskrift5"/>
    <w:uiPriority w:val="9"/>
    <w:semiHidden/>
    <w:rsid w:val="00CB19A6"/>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CB19A6"/>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CB19A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CB19A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CB19A6"/>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CB19A6"/>
    <w:rPr>
      <w:b/>
      <w:bCs/>
      <w:sz w:val="18"/>
      <w:szCs w:val="18"/>
    </w:rPr>
  </w:style>
  <w:style w:type="paragraph" w:styleId="Tittel">
    <w:name w:val="Title"/>
    <w:basedOn w:val="Normal"/>
    <w:next w:val="Normal"/>
    <w:link w:val="TittelTegn"/>
    <w:uiPriority w:val="10"/>
    <w:qFormat/>
    <w:rsid w:val="00CB19A6"/>
    <w:pPr>
      <w:spacing w:after="300"/>
      <w:contextualSpacing/>
    </w:pPr>
    <w:rPr>
      <w:rFonts w:asciiTheme="majorHAnsi" w:eastAsiaTheme="majorEastAsia" w:hAnsiTheme="majorHAnsi" w:cstheme="majorBidi"/>
      <w:b/>
      <w:spacing w:val="5"/>
      <w:kern w:val="28"/>
      <w:sz w:val="32"/>
      <w:szCs w:val="52"/>
    </w:rPr>
  </w:style>
  <w:style w:type="character" w:customStyle="1" w:styleId="TittelTegn">
    <w:name w:val="Tittel Tegn"/>
    <w:basedOn w:val="Standardskriftforavsnitt"/>
    <w:link w:val="Tittel"/>
    <w:uiPriority w:val="10"/>
    <w:rsid w:val="00CB19A6"/>
    <w:rPr>
      <w:rFonts w:asciiTheme="majorHAnsi" w:eastAsiaTheme="majorEastAsia" w:hAnsiTheme="majorHAnsi" w:cstheme="majorBidi"/>
      <w:b/>
      <w:spacing w:val="5"/>
      <w:kern w:val="28"/>
      <w:sz w:val="32"/>
      <w:szCs w:val="52"/>
    </w:rPr>
  </w:style>
  <w:style w:type="paragraph" w:styleId="Undertittel">
    <w:name w:val="Subtitle"/>
    <w:basedOn w:val="Normal"/>
    <w:next w:val="Normal"/>
    <w:link w:val="UndertittelTegn"/>
    <w:uiPriority w:val="11"/>
    <w:qFormat/>
    <w:rsid w:val="00CB19A6"/>
    <w:pPr>
      <w:numPr>
        <w:ilvl w:val="1"/>
      </w:numPr>
    </w:pPr>
    <w:rPr>
      <w:rFonts w:asciiTheme="majorHAnsi" w:eastAsiaTheme="majorEastAsia" w:hAnsiTheme="majorHAnsi" w:cstheme="majorBidi"/>
      <w:i/>
      <w:iCs/>
      <w:spacing w:val="15"/>
      <w:szCs w:val="24"/>
    </w:rPr>
  </w:style>
  <w:style w:type="character" w:customStyle="1" w:styleId="UndertittelTegn">
    <w:name w:val="Undertittel Tegn"/>
    <w:basedOn w:val="Standardskriftforavsnitt"/>
    <w:link w:val="Undertittel"/>
    <w:uiPriority w:val="11"/>
    <w:rsid w:val="00CB19A6"/>
    <w:rPr>
      <w:rFonts w:asciiTheme="majorHAnsi" w:eastAsiaTheme="majorEastAsia" w:hAnsiTheme="majorHAnsi" w:cstheme="majorBidi"/>
      <w:i/>
      <w:iCs/>
      <w:spacing w:val="15"/>
      <w:sz w:val="24"/>
      <w:szCs w:val="24"/>
    </w:rPr>
  </w:style>
  <w:style w:type="character" w:styleId="Sterk">
    <w:name w:val="Strong"/>
    <w:uiPriority w:val="22"/>
    <w:qFormat/>
    <w:rsid w:val="00CB19A6"/>
    <w:rPr>
      <w:b/>
      <w:bCs/>
    </w:rPr>
  </w:style>
  <w:style w:type="character" w:styleId="Utheving">
    <w:name w:val="Emphasis"/>
    <w:uiPriority w:val="20"/>
    <w:qFormat/>
    <w:rsid w:val="00CB19A6"/>
    <w:rPr>
      <w:i/>
      <w:iCs/>
    </w:rPr>
  </w:style>
  <w:style w:type="paragraph" w:styleId="Ingenmellomrom">
    <w:name w:val="No Spacing"/>
    <w:basedOn w:val="Normal"/>
    <w:link w:val="IngenmellomromTegn"/>
    <w:uiPriority w:val="1"/>
    <w:qFormat/>
    <w:rsid w:val="00CB19A6"/>
    <w:rPr>
      <w:sz w:val="22"/>
    </w:rPr>
  </w:style>
  <w:style w:type="character" w:customStyle="1" w:styleId="IngenmellomromTegn">
    <w:name w:val="Ingen mellomrom Tegn"/>
    <w:basedOn w:val="Standardskriftforavsnitt"/>
    <w:link w:val="Ingenmellomrom"/>
    <w:uiPriority w:val="1"/>
    <w:rsid w:val="00CB19A6"/>
  </w:style>
  <w:style w:type="paragraph" w:styleId="Listeavsnitt">
    <w:name w:val="List Paragraph"/>
    <w:basedOn w:val="Normal"/>
    <w:uiPriority w:val="34"/>
    <w:qFormat/>
    <w:rsid w:val="00CB19A6"/>
    <w:pPr>
      <w:ind w:left="720"/>
      <w:contextualSpacing/>
    </w:pPr>
  </w:style>
  <w:style w:type="paragraph" w:styleId="Sitat">
    <w:name w:val="Quote"/>
    <w:basedOn w:val="Normal"/>
    <w:next w:val="Normal"/>
    <w:link w:val="SitatTegn"/>
    <w:uiPriority w:val="29"/>
    <w:qFormat/>
    <w:rsid w:val="00CB19A6"/>
    <w:rPr>
      <w:i/>
      <w:iCs/>
      <w:color w:val="000000" w:themeColor="text1"/>
      <w:sz w:val="22"/>
    </w:rPr>
  </w:style>
  <w:style w:type="character" w:customStyle="1" w:styleId="SitatTegn">
    <w:name w:val="Sitat Tegn"/>
    <w:basedOn w:val="Standardskriftforavsnitt"/>
    <w:link w:val="Sitat"/>
    <w:uiPriority w:val="29"/>
    <w:rsid w:val="00CB19A6"/>
    <w:rPr>
      <w:i/>
      <w:iCs/>
      <w:color w:val="000000" w:themeColor="text1"/>
    </w:rPr>
  </w:style>
  <w:style w:type="paragraph" w:styleId="Sterktsitat">
    <w:name w:val="Intense Quote"/>
    <w:basedOn w:val="Normal"/>
    <w:next w:val="Normal"/>
    <w:link w:val="SterktsitatTegn"/>
    <w:uiPriority w:val="30"/>
    <w:qFormat/>
    <w:rsid w:val="00CB19A6"/>
    <w:pPr>
      <w:pBdr>
        <w:bottom w:val="single" w:sz="4" w:space="4" w:color="auto"/>
      </w:pBdr>
      <w:spacing w:before="200" w:after="280"/>
      <w:ind w:left="936" w:right="936"/>
    </w:pPr>
    <w:rPr>
      <w:b/>
      <w:bCs/>
      <w:i/>
      <w:iCs/>
      <w:sz w:val="22"/>
    </w:rPr>
  </w:style>
  <w:style w:type="character" w:customStyle="1" w:styleId="SterktsitatTegn">
    <w:name w:val="Sterkt sitat Tegn"/>
    <w:basedOn w:val="Standardskriftforavsnitt"/>
    <w:link w:val="Sterktsitat"/>
    <w:uiPriority w:val="30"/>
    <w:rsid w:val="00CB19A6"/>
    <w:rPr>
      <w:b/>
      <w:bCs/>
      <w:i/>
      <w:iCs/>
    </w:rPr>
  </w:style>
  <w:style w:type="character" w:styleId="Svakutheving">
    <w:name w:val="Subtle Emphasis"/>
    <w:uiPriority w:val="19"/>
    <w:qFormat/>
    <w:rsid w:val="00CB19A6"/>
    <w:rPr>
      <w:i/>
      <w:iCs/>
      <w:color w:val="auto"/>
    </w:rPr>
  </w:style>
  <w:style w:type="character" w:styleId="Sterkutheving">
    <w:name w:val="Intense Emphasis"/>
    <w:uiPriority w:val="21"/>
    <w:qFormat/>
    <w:rsid w:val="00CB19A6"/>
    <w:rPr>
      <w:b/>
      <w:bCs/>
      <w:i/>
      <w:iCs/>
      <w:color w:val="auto"/>
    </w:rPr>
  </w:style>
  <w:style w:type="character" w:styleId="Svakreferanse">
    <w:name w:val="Subtle Reference"/>
    <w:uiPriority w:val="31"/>
    <w:qFormat/>
    <w:rsid w:val="00CB19A6"/>
    <w:rPr>
      <w:smallCaps/>
      <w:color w:val="auto"/>
      <w:u w:val="single"/>
    </w:rPr>
  </w:style>
  <w:style w:type="character" w:styleId="Sterkreferanse">
    <w:name w:val="Intense Reference"/>
    <w:uiPriority w:val="32"/>
    <w:qFormat/>
    <w:rsid w:val="00CB19A6"/>
    <w:rPr>
      <w:b/>
      <w:bCs/>
      <w:smallCaps/>
      <w:color w:val="auto"/>
      <w:spacing w:val="5"/>
      <w:u w:val="single"/>
    </w:rPr>
  </w:style>
  <w:style w:type="character" w:styleId="Boktittel">
    <w:name w:val="Book Title"/>
    <w:uiPriority w:val="33"/>
    <w:qFormat/>
    <w:rsid w:val="00CB19A6"/>
    <w:rPr>
      <w:b/>
      <w:bCs/>
      <w:smallCaps/>
      <w:spacing w:val="5"/>
    </w:rPr>
  </w:style>
  <w:style w:type="paragraph" w:styleId="Overskriftforinnholdsfortegnelse">
    <w:name w:val="TOC Heading"/>
    <w:basedOn w:val="Overskrift1"/>
    <w:next w:val="Normal"/>
    <w:uiPriority w:val="39"/>
    <w:semiHidden/>
    <w:unhideWhenUsed/>
    <w:qFormat/>
    <w:rsid w:val="00CB19A6"/>
    <w:pPr>
      <w:outlineLvl w:val="9"/>
    </w:pPr>
  </w:style>
  <w:style w:type="table" w:styleId="Tabellrutenett">
    <w:name w:val="Table Grid"/>
    <w:basedOn w:val="Vanligtabell"/>
    <w:uiPriority w:val="39"/>
    <w:rsid w:val="005E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F17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17EF"/>
    <w:rPr>
      <w:rFonts w:ascii="Segoe UI" w:hAnsi="Segoe UI" w:cs="Segoe UI"/>
      <w:sz w:val="18"/>
      <w:szCs w:val="18"/>
    </w:rPr>
  </w:style>
  <w:style w:type="paragraph" w:styleId="Topptekst">
    <w:name w:val="header"/>
    <w:basedOn w:val="Normal"/>
    <w:link w:val="TopptekstTegn"/>
    <w:uiPriority w:val="99"/>
    <w:unhideWhenUsed/>
    <w:rsid w:val="006F17EF"/>
    <w:pPr>
      <w:tabs>
        <w:tab w:val="center" w:pos="4536"/>
        <w:tab w:val="right" w:pos="9072"/>
      </w:tabs>
    </w:pPr>
  </w:style>
  <w:style w:type="character" w:customStyle="1" w:styleId="TopptekstTegn">
    <w:name w:val="Topptekst Tegn"/>
    <w:basedOn w:val="Standardskriftforavsnitt"/>
    <w:link w:val="Topptekst"/>
    <w:uiPriority w:val="99"/>
    <w:rsid w:val="006F17EF"/>
    <w:rPr>
      <w:sz w:val="24"/>
    </w:rPr>
  </w:style>
  <w:style w:type="paragraph" w:styleId="Bunntekst">
    <w:name w:val="footer"/>
    <w:basedOn w:val="Normal"/>
    <w:link w:val="BunntekstTegn"/>
    <w:uiPriority w:val="99"/>
    <w:unhideWhenUsed/>
    <w:rsid w:val="006F17EF"/>
    <w:pPr>
      <w:tabs>
        <w:tab w:val="center" w:pos="4536"/>
        <w:tab w:val="right" w:pos="9072"/>
      </w:tabs>
    </w:pPr>
  </w:style>
  <w:style w:type="character" w:customStyle="1" w:styleId="BunntekstTegn">
    <w:name w:val="Bunntekst Tegn"/>
    <w:basedOn w:val="Standardskriftforavsnitt"/>
    <w:link w:val="Bunntekst"/>
    <w:uiPriority w:val="99"/>
    <w:rsid w:val="006F17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A6"/>
    <w:pPr>
      <w:spacing w:after="0" w:line="240" w:lineRule="auto"/>
    </w:pPr>
    <w:rPr>
      <w:sz w:val="24"/>
    </w:rPr>
  </w:style>
  <w:style w:type="paragraph" w:styleId="Overskrift1">
    <w:name w:val="heading 1"/>
    <w:basedOn w:val="Normal"/>
    <w:next w:val="Normal"/>
    <w:link w:val="Overskrift1Tegn"/>
    <w:uiPriority w:val="9"/>
    <w:qFormat/>
    <w:rsid w:val="00CB19A6"/>
    <w:pPr>
      <w:keepNext/>
      <w:keepLines/>
      <w:spacing w:before="60" w:after="6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unhideWhenUsed/>
    <w:qFormat/>
    <w:rsid w:val="00CB19A6"/>
    <w:pPr>
      <w:keepNext/>
      <w:keepLines/>
      <w:spacing w:before="60" w:after="60"/>
      <w:outlineLvl w:val="1"/>
    </w:pPr>
    <w:rPr>
      <w:rFonts w:asciiTheme="majorHAnsi" w:eastAsiaTheme="majorEastAsia" w:hAnsiTheme="majorHAnsi" w:cstheme="majorBidi"/>
      <w:b/>
      <w:bCs/>
      <w:sz w:val="28"/>
      <w:szCs w:val="26"/>
    </w:rPr>
  </w:style>
  <w:style w:type="paragraph" w:styleId="Overskrift3">
    <w:name w:val="heading 3"/>
    <w:basedOn w:val="Normal"/>
    <w:next w:val="Normal"/>
    <w:link w:val="Overskrift3Tegn"/>
    <w:uiPriority w:val="9"/>
    <w:semiHidden/>
    <w:unhideWhenUsed/>
    <w:qFormat/>
    <w:rsid w:val="00CB19A6"/>
    <w:pPr>
      <w:keepNext/>
      <w:keepLines/>
      <w:spacing w:before="60" w:after="6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CB19A6"/>
    <w:pPr>
      <w:keepNext/>
      <w:keepLines/>
      <w:spacing w:before="60" w:after="60"/>
      <w:outlineLvl w:val="3"/>
    </w:pPr>
    <w:rPr>
      <w:rFonts w:asciiTheme="majorHAnsi" w:eastAsiaTheme="majorEastAsia" w:hAnsiTheme="majorHAnsi" w:cstheme="majorBidi"/>
      <w:b/>
      <w:bCs/>
      <w:iCs/>
      <w:sz w:val="22"/>
    </w:rPr>
  </w:style>
  <w:style w:type="paragraph" w:styleId="Overskrift5">
    <w:name w:val="heading 5"/>
    <w:basedOn w:val="Normal"/>
    <w:next w:val="Normal"/>
    <w:link w:val="Overskrift5Tegn"/>
    <w:uiPriority w:val="9"/>
    <w:semiHidden/>
    <w:unhideWhenUsed/>
    <w:qFormat/>
    <w:rsid w:val="00CB19A6"/>
    <w:pPr>
      <w:keepNext/>
      <w:keepLines/>
      <w:spacing w:before="200"/>
      <w:outlineLvl w:val="4"/>
    </w:pPr>
    <w:rPr>
      <w:rFonts w:asciiTheme="majorHAnsi" w:eastAsiaTheme="majorEastAsia" w:hAnsiTheme="majorHAnsi" w:cstheme="majorBidi"/>
      <w:sz w:val="22"/>
    </w:rPr>
  </w:style>
  <w:style w:type="paragraph" w:styleId="Overskrift6">
    <w:name w:val="heading 6"/>
    <w:basedOn w:val="Normal"/>
    <w:next w:val="Normal"/>
    <w:link w:val="Overskrift6Tegn"/>
    <w:uiPriority w:val="9"/>
    <w:semiHidden/>
    <w:unhideWhenUsed/>
    <w:qFormat/>
    <w:rsid w:val="00CB19A6"/>
    <w:pPr>
      <w:keepNext/>
      <w:keepLines/>
      <w:spacing w:before="200"/>
      <w:outlineLvl w:val="5"/>
    </w:pPr>
    <w:rPr>
      <w:rFonts w:asciiTheme="majorHAnsi" w:eastAsiaTheme="majorEastAsia" w:hAnsiTheme="majorHAnsi" w:cstheme="majorBidi"/>
      <w:i/>
      <w:iCs/>
      <w:sz w:val="22"/>
    </w:rPr>
  </w:style>
  <w:style w:type="paragraph" w:styleId="Overskrift7">
    <w:name w:val="heading 7"/>
    <w:basedOn w:val="Normal"/>
    <w:next w:val="Normal"/>
    <w:link w:val="Overskrift7Tegn"/>
    <w:uiPriority w:val="9"/>
    <w:semiHidden/>
    <w:unhideWhenUsed/>
    <w:qFormat/>
    <w:rsid w:val="00CB19A6"/>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Overskrift8">
    <w:name w:val="heading 8"/>
    <w:basedOn w:val="Normal"/>
    <w:next w:val="Normal"/>
    <w:link w:val="Overskrift8Tegn"/>
    <w:uiPriority w:val="9"/>
    <w:semiHidden/>
    <w:unhideWhenUsed/>
    <w:qFormat/>
    <w:rsid w:val="00CB19A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B19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B19A6"/>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CB19A6"/>
    <w:rPr>
      <w:rFonts w:asciiTheme="majorHAnsi" w:eastAsiaTheme="majorEastAsia" w:hAnsiTheme="majorHAnsi" w:cstheme="majorBidi"/>
      <w:b/>
      <w:bCs/>
      <w:sz w:val="28"/>
      <w:szCs w:val="26"/>
    </w:rPr>
  </w:style>
  <w:style w:type="character" w:customStyle="1" w:styleId="Overskrift3Tegn">
    <w:name w:val="Overskrift 3 Tegn"/>
    <w:basedOn w:val="Standardskriftforavsnitt"/>
    <w:link w:val="Overskrift3"/>
    <w:uiPriority w:val="9"/>
    <w:semiHidden/>
    <w:rsid w:val="00CB19A6"/>
    <w:rPr>
      <w:rFonts w:asciiTheme="majorHAnsi" w:eastAsiaTheme="majorEastAsia" w:hAnsiTheme="majorHAnsi" w:cstheme="majorBidi"/>
      <w:b/>
      <w:bCs/>
      <w:sz w:val="24"/>
    </w:rPr>
  </w:style>
  <w:style w:type="character" w:customStyle="1" w:styleId="Overskrift4Tegn">
    <w:name w:val="Overskrift 4 Tegn"/>
    <w:basedOn w:val="Standardskriftforavsnitt"/>
    <w:link w:val="Overskrift4"/>
    <w:uiPriority w:val="9"/>
    <w:semiHidden/>
    <w:rsid w:val="00CB19A6"/>
    <w:rPr>
      <w:rFonts w:asciiTheme="majorHAnsi" w:eastAsiaTheme="majorEastAsia" w:hAnsiTheme="majorHAnsi" w:cstheme="majorBidi"/>
      <w:b/>
      <w:bCs/>
      <w:iCs/>
    </w:rPr>
  </w:style>
  <w:style w:type="character" w:customStyle="1" w:styleId="Overskrift5Tegn">
    <w:name w:val="Overskrift 5 Tegn"/>
    <w:basedOn w:val="Standardskriftforavsnitt"/>
    <w:link w:val="Overskrift5"/>
    <w:uiPriority w:val="9"/>
    <w:semiHidden/>
    <w:rsid w:val="00CB19A6"/>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CB19A6"/>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CB19A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CB19A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CB19A6"/>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CB19A6"/>
    <w:rPr>
      <w:b/>
      <w:bCs/>
      <w:sz w:val="18"/>
      <w:szCs w:val="18"/>
    </w:rPr>
  </w:style>
  <w:style w:type="paragraph" w:styleId="Tittel">
    <w:name w:val="Title"/>
    <w:basedOn w:val="Normal"/>
    <w:next w:val="Normal"/>
    <w:link w:val="TittelTegn"/>
    <w:uiPriority w:val="10"/>
    <w:qFormat/>
    <w:rsid w:val="00CB19A6"/>
    <w:pPr>
      <w:spacing w:after="300"/>
      <w:contextualSpacing/>
    </w:pPr>
    <w:rPr>
      <w:rFonts w:asciiTheme="majorHAnsi" w:eastAsiaTheme="majorEastAsia" w:hAnsiTheme="majorHAnsi" w:cstheme="majorBidi"/>
      <w:b/>
      <w:spacing w:val="5"/>
      <w:kern w:val="28"/>
      <w:sz w:val="32"/>
      <w:szCs w:val="52"/>
    </w:rPr>
  </w:style>
  <w:style w:type="character" w:customStyle="1" w:styleId="TittelTegn">
    <w:name w:val="Tittel Tegn"/>
    <w:basedOn w:val="Standardskriftforavsnitt"/>
    <w:link w:val="Tittel"/>
    <w:uiPriority w:val="10"/>
    <w:rsid w:val="00CB19A6"/>
    <w:rPr>
      <w:rFonts w:asciiTheme="majorHAnsi" w:eastAsiaTheme="majorEastAsia" w:hAnsiTheme="majorHAnsi" w:cstheme="majorBidi"/>
      <w:b/>
      <w:spacing w:val="5"/>
      <w:kern w:val="28"/>
      <w:sz w:val="32"/>
      <w:szCs w:val="52"/>
    </w:rPr>
  </w:style>
  <w:style w:type="paragraph" w:styleId="Undertittel">
    <w:name w:val="Subtitle"/>
    <w:basedOn w:val="Normal"/>
    <w:next w:val="Normal"/>
    <w:link w:val="UndertittelTegn"/>
    <w:uiPriority w:val="11"/>
    <w:qFormat/>
    <w:rsid w:val="00CB19A6"/>
    <w:pPr>
      <w:numPr>
        <w:ilvl w:val="1"/>
      </w:numPr>
    </w:pPr>
    <w:rPr>
      <w:rFonts w:asciiTheme="majorHAnsi" w:eastAsiaTheme="majorEastAsia" w:hAnsiTheme="majorHAnsi" w:cstheme="majorBidi"/>
      <w:i/>
      <w:iCs/>
      <w:spacing w:val="15"/>
      <w:szCs w:val="24"/>
    </w:rPr>
  </w:style>
  <w:style w:type="character" w:customStyle="1" w:styleId="UndertittelTegn">
    <w:name w:val="Undertittel Tegn"/>
    <w:basedOn w:val="Standardskriftforavsnitt"/>
    <w:link w:val="Undertittel"/>
    <w:uiPriority w:val="11"/>
    <w:rsid w:val="00CB19A6"/>
    <w:rPr>
      <w:rFonts w:asciiTheme="majorHAnsi" w:eastAsiaTheme="majorEastAsia" w:hAnsiTheme="majorHAnsi" w:cstheme="majorBidi"/>
      <w:i/>
      <w:iCs/>
      <w:spacing w:val="15"/>
      <w:sz w:val="24"/>
      <w:szCs w:val="24"/>
    </w:rPr>
  </w:style>
  <w:style w:type="character" w:styleId="Sterk">
    <w:name w:val="Strong"/>
    <w:uiPriority w:val="22"/>
    <w:qFormat/>
    <w:rsid w:val="00CB19A6"/>
    <w:rPr>
      <w:b/>
      <w:bCs/>
    </w:rPr>
  </w:style>
  <w:style w:type="character" w:styleId="Utheving">
    <w:name w:val="Emphasis"/>
    <w:uiPriority w:val="20"/>
    <w:qFormat/>
    <w:rsid w:val="00CB19A6"/>
    <w:rPr>
      <w:i/>
      <w:iCs/>
    </w:rPr>
  </w:style>
  <w:style w:type="paragraph" w:styleId="Ingenmellomrom">
    <w:name w:val="No Spacing"/>
    <w:basedOn w:val="Normal"/>
    <w:link w:val="IngenmellomromTegn"/>
    <w:uiPriority w:val="1"/>
    <w:qFormat/>
    <w:rsid w:val="00CB19A6"/>
    <w:rPr>
      <w:sz w:val="22"/>
    </w:rPr>
  </w:style>
  <w:style w:type="character" w:customStyle="1" w:styleId="IngenmellomromTegn">
    <w:name w:val="Ingen mellomrom Tegn"/>
    <w:basedOn w:val="Standardskriftforavsnitt"/>
    <w:link w:val="Ingenmellomrom"/>
    <w:uiPriority w:val="1"/>
    <w:rsid w:val="00CB19A6"/>
  </w:style>
  <w:style w:type="paragraph" w:styleId="Listeavsnitt">
    <w:name w:val="List Paragraph"/>
    <w:basedOn w:val="Normal"/>
    <w:uiPriority w:val="34"/>
    <w:qFormat/>
    <w:rsid w:val="00CB19A6"/>
    <w:pPr>
      <w:ind w:left="720"/>
      <w:contextualSpacing/>
    </w:pPr>
  </w:style>
  <w:style w:type="paragraph" w:styleId="Sitat">
    <w:name w:val="Quote"/>
    <w:basedOn w:val="Normal"/>
    <w:next w:val="Normal"/>
    <w:link w:val="SitatTegn"/>
    <w:uiPriority w:val="29"/>
    <w:qFormat/>
    <w:rsid w:val="00CB19A6"/>
    <w:rPr>
      <w:i/>
      <w:iCs/>
      <w:color w:val="000000" w:themeColor="text1"/>
      <w:sz w:val="22"/>
    </w:rPr>
  </w:style>
  <w:style w:type="character" w:customStyle="1" w:styleId="SitatTegn">
    <w:name w:val="Sitat Tegn"/>
    <w:basedOn w:val="Standardskriftforavsnitt"/>
    <w:link w:val="Sitat"/>
    <w:uiPriority w:val="29"/>
    <w:rsid w:val="00CB19A6"/>
    <w:rPr>
      <w:i/>
      <w:iCs/>
      <w:color w:val="000000" w:themeColor="text1"/>
    </w:rPr>
  </w:style>
  <w:style w:type="paragraph" w:styleId="Sterktsitat">
    <w:name w:val="Intense Quote"/>
    <w:basedOn w:val="Normal"/>
    <w:next w:val="Normal"/>
    <w:link w:val="SterktsitatTegn"/>
    <w:uiPriority w:val="30"/>
    <w:qFormat/>
    <w:rsid w:val="00CB19A6"/>
    <w:pPr>
      <w:pBdr>
        <w:bottom w:val="single" w:sz="4" w:space="4" w:color="auto"/>
      </w:pBdr>
      <w:spacing w:before="200" w:after="280"/>
      <w:ind w:left="936" w:right="936"/>
    </w:pPr>
    <w:rPr>
      <w:b/>
      <w:bCs/>
      <w:i/>
      <w:iCs/>
      <w:sz w:val="22"/>
    </w:rPr>
  </w:style>
  <w:style w:type="character" w:customStyle="1" w:styleId="SterktsitatTegn">
    <w:name w:val="Sterkt sitat Tegn"/>
    <w:basedOn w:val="Standardskriftforavsnitt"/>
    <w:link w:val="Sterktsitat"/>
    <w:uiPriority w:val="30"/>
    <w:rsid w:val="00CB19A6"/>
    <w:rPr>
      <w:b/>
      <w:bCs/>
      <w:i/>
      <w:iCs/>
    </w:rPr>
  </w:style>
  <w:style w:type="character" w:styleId="Svakutheving">
    <w:name w:val="Subtle Emphasis"/>
    <w:uiPriority w:val="19"/>
    <w:qFormat/>
    <w:rsid w:val="00CB19A6"/>
    <w:rPr>
      <w:i/>
      <w:iCs/>
      <w:color w:val="auto"/>
    </w:rPr>
  </w:style>
  <w:style w:type="character" w:styleId="Sterkutheving">
    <w:name w:val="Intense Emphasis"/>
    <w:uiPriority w:val="21"/>
    <w:qFormat/>
    <w:rsid w:val="00CB19A6"/>
    <w:rPr>
      <w:b/>
      <w:bCs/>
      <w:i/>
      <w:iCs/>
      <w:color w:val="auto"/>
    </w:rPr>
  </w:style>
  <w:style w:type="character" w:styleId="Svakreferanse">
    <w:name w:val="Subtle Reference"/>
    <w:uiPriority w:val="31"/>
    <w:qFormat/>
    <w:rsid w:val="00CB19A6"/>
    <w:rPr>
      <w:smallCaps/>
      <w:color w:val="auto"/>
      <w:u w:val="single"/>
    </w:rPr>
  </w:style>
  <w:style w:type="character" w:styleId="Sterkreferanse">
    <w:name w:val="Intense Reference"/>
    <w:uiPriority w:val="32"/>
    <w:qFormat/>
    <w:rsid w:val="00CB19A6"/>
    <w:rPr>
      <w:b/>
      <w:bCs/>
      <w:smallCaps/>
      <w:color w:val="auto"/>
      <w:spacing w:val="5"/>
      <w:u w:val="single"/>
    </w:rPr>
  </w:style>
  <w:style w:type="character" w:styleId="Boktittel">
    <w:name w:val="Book Title"/>
    <w:uiPriority w:val="33"/>
    <w:qFormat/>
    <w:rsid w:val="00CB19A6"/>
    <w:rPr>
      <w:b/>
      <w:bCs/>
      <w:smallCaps/>
      <w:spacing w:val="5"/>
    </w:rPr>
  </w:style>
  <w:style w:type="paragraph" w:styleId="Overskriftforinnholdsfortegnelse">
    <w:name w:val="TOC Heading"/>
    <w:basedOn w:val="Overskrift1"/>
    <w:next w:val="Normal"/>
    <w:uiPriority w:val="39"/>
    <w:semiHidden/>
    <w:unhideWhenUsed/>
    <w:qFormat/>
    <w:rsid w:val="00CB19A6"/>
    <w:pPr>
      <w:outlineLvl w:val="9"/>
    </w:pPr>
  </w:style>
  <w:style w:type="table" w:styleId="Tabellrutenett">
    <w:name w:val="Table Grid"/>
    <w:basedOn w:val="Vanligtabell"/>
    <w:uiPriority w:val="39"/>
    <w:rsid w:val="005E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F17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17EF"/>
    <w:rPr>
      <w:rFonts w:ascii="Segoe UI" w:hAnsi="Segoe UI" w:cs="Segoe UI"/>
      <w:sz w:val="18"/>
      <w:szCs w:val="18"/>
    </w:rPr>
  </w:style>
  <w:style w:type="paragraph" w:styleId="Topptekst">
    <w:name w:val="header"/>
    <w:basedOn w:val="Normal"/>
    <w:link w:val="TopptekstTegn"/>
    <w:uiPriority w:val="99"/>
    <w:unhideWhenUsed/>
    <w:rsid w:val="006F17EF"/>
    <w:pPr>
      <w:tabs>
        <w:tab w:val="center" w:pos="4536"/>
        <w:tab w:val="right" w:pos="9072"/>
      </w:tabs>
    </w:pPr>
  </w:style>
  <w:style w:type="character" w:customStyle="1" w:styleId="TopptekstTegn">
    <w:name w:val="Topptekst Tegn"/>
    <w:basedOn w:val="Standardskriftforavsnitt"/>
    <w:link w:val="Topptekst"/>
    <w:uiPriority w:val="99"/>
    <w:rsid w:val="006F17EF"/>
    <w:rPr>
      <w:sz w:val="24"/>
    </w:rPr>
  </w:style>
  <w:style w:type="paragraph" w:styleId="Bunntekst">
    <w:name w:val="footer"/>
    <w:basedOn w:val="Normal"/>
    <w:link w:val="BunntekstTegn"/>
    <w:uiPriority w:val="99"/>
    <w:unhideWhenUsed/>
    <w:rsid w:val="006F17EF"/>
    <w:pPr>
      <w:tabs>
        <w:tab w:val="center" w:pos="4536"/>
        <w:tab w:val="right" w:pos="9072"/>
      </w:tabs>
    </w:pPr>
  </w:style>
  <w:style w:type="character" w:customStyle="1" w:styleId="BunntekstTegn">
    <w:name w:val="Bunntekst Tegn"/>
    <w:basedOn w:val="Standardskriftforavsnitt"/>
    <w:link w:val="Bunntekst"/>
    <w:uiPriority w:val="99"/>
    <w:rsid w:val="006F17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4562">
      <w:bodyDiv w:val="1"/>
      <w:marLeft w:val="0"/>
      <w:marRight w:val="0"/>
      <w:marTop w:val="0"/>
      <w:marBottom w:val="0"/>
      <w:divBdr>
        <w:top w:val="none" w:sz="0" w:space="0" w:color="auto"/>
        <w:left w:val="none" w:sz="0" w:space="0" w:color="auto"/>
        <w:bottom w:val="none" w:sz="0" w:space="0" w:color="auto"/>
        <w:right w:val="none" w:sz="0" w:space="0" w:color="auto"/>
      </w:divBdr>
    </w:div>
    <w:div w:id="961155559">
      <w:bodyDiv w:val="1"/>
      <w:marLeft w:val="0"/>
      <w:marRight w:val="0"/>
      <w:marTop w:val="0"/>
      <w:marBottom w:val="0"/>
      <w:divBdr>
        <w:top w:val="none" w:sz="0" w:space="0" w:color="auto"/>
        <w:left w:val="none" w:sz="0" w:space="0" w:color="auto"/>
        <w:bottom w:val="none" w:sz="0" w:space="0" w:color="auto"/>
        <w:right w:val="none" w:sz="0" w:space="0" w:color="auto"/>
      </w:divBdr>
    </w:div>
    <w:div w:id="1226068109">
      <w:bodyDiv w:val="1"/>
      <w:marLeft w:val="0"/>
      <w:marRight w:val="0"/>
      <w:marTop w:val="0"/>
      <w:marBottom w:val="0"/>
      <w:divBdr>
        <w:top w:val="none" w:sz="0" w:space="0" w:color="auto"/>
        <w:left w:val="none" w:sz="0" w:space="0" w:color="auto"/>
        <w:bottom w:val="none" w:sz="0" w:space="0" w:color="auto"/>
        <w:right w:val="none" w:sz="0" w:space="0" w:color="auto"/>
      </w:divBdr>
    </w:div>
    <w:div w:id="16149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Østfold fylkeskommune">
  <a:themeElements>
    <a:clrScheme name="Østfold fylkeskommune">
      <a:dk1>
        <a:sysClr val="windowText" lastClr="000000"/>
      </a:dk1>
      <a:lt1>
        <a:sysClr val="window" lastClr="FFFFFF"/>
      </a:lt1>
      <a:dk2>
        <a:srgbClr val="002B49"/>
      </a:dk2>
      <a:lt2>
        <a:srgbClr val="EEECE1"/>
      </a:lt2>
      <a:accent1>
        <a:srgbClr val="00A3E0"/>
      </a:accent1>
      <a:accent2>
        <a:srgbClr val="F9423A"/>
      </a:accent2>
      <a:accent3>
        <a:srgbClr val="FFCD00"/>
      </a:accent3>
      <a:accent4>
        <a:srgbClr val="43B02A"/>
      </a:accent4>
      <a:accent5>
        <a:srgbClr val="AA8066"/>
      </a:accent5>
      <a:accent6>
        <a:srgbClr val="F9423A"/>
      </a:accent6>
      <a:hlink>
        <a:srgbClr val="00007F"/>
      </a:hlink>
      <a:folHlink>
        <a:srgbClr val="3F0040"/>
      </a:folHlink>
    </a:clrScheme>
    <a:fontScheme name="Østfold fylkeskommune">
      <a:majorFont>
        <a:latin typeface="Calibri"/>
        <a:ea typeface=""/>
        <a:cs typeface=""/>
      </a:majorFont>
      <a:minorFont>
        <a:latin typeface="Calibri"/>
        <a:ea typeface=""/>
        <a:cs typeface=""/>
      </a:minorFont>
    </a:fontScheme>
    <a:fmtScheme name="Rutenett">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0" tIns="10800" rIns="0" bIns="10800" numCol="1"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b-NO" sz="3600" b="0" i="0" u="none" strike="noStrike" cap="none" normalizeH="0" baseline="0">
            <a:ln>
              <a:noFill/>
            </a:ln>
            <a:solidFill>
              <a:schemeClr val="tx2"/>
            </a:solidFill>
            <a:effectLst/>
            <a:latin typeface="Museo 500"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0" tIns="10800" rIns="0" bIns="10800" numCol="1"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b-NO" sz="3600" b="0" i="0" u="none" strike="noStrike" cap="none" normalizeH="0" baseline="0">
            <a:ln>
              <a:noFill/>
            </a:ln>
            <a:solidFill>
              <a:schemeClr val="tx2"/>
            </a:solidFill>
            <a:effectLst/>
            <a:latin typeface="Museo 500" charset="0"/>
          </a:defRPr>
        </a:defPPr>
      </a:lstStyle>
    </a:lnDef>
  </a:objectDefaults>
  <a:extraClrSchemeLst>
    <a:extraClrScheme>
      <a:clrScheme name="ny fylkeskommunemal_mellomblå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ny fylkeskommunemal_mellomblå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ny fylkeskommunemal_mellomblå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ny fylkeskommunemal_mellomblå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ny fylkeskommunemal_mellomblå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ny fylkeskommunemal_mellomblå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ny fylkeskommunemal_mellomblå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ny fylkeskommunemal_mellomblå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ny fylkeskommunemal_mellomblå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ny fylkeskommunemal_mellomblå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ny fylkeskommunemal_mellomblå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ny fylkeskommunemal_mellomblå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11819</Characters>
  <Application>Microsoft Office Word</Application>
  <DocSecurity>4</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Oppland fylkeskommune</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Helene Garberg</dc:creator>
  <cp:lastModifiedBy>Sæternes Ann Irene, Sent.adm OFK</cp:lastModifiedBy>
  <cp:revision>2</cp:revision>
  <cp:lastPrinted>2015-11-02T13:38:00Z</cp:lastPrinted>
  <dcterms:created xsi:type="dcterms:W3CDTF">2015-11-02T13:38:00Z</dcterms:created>
  <dcterms:modified xsi:type="dcterms:W3CDTF">2015-11-02T13:38:00Z</dcterms:modified>
</cp:coreProperties>
</file>